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6A53" w14:textId="7F60B742" w:rsidR="00B0555C" w:rsidRPr="00860003" w:rsidRDefault="67BB4EF8" w:rsidP="4FDD740C">
      <w:pPr>
        <w:pStyle w:val="Title"/>
        <w:rPr>
          <w:rFonts w:ascii="Arial" w:hAnsi="Arial" w:cs="Arial"/>
          <w:sz w:val="40"/>
          <w:szCs w:val="40"/>
        </w:rPr>
      </w:pPr>
      <w:r w:rsidRPr="1CB44818">
        <w:rPr>
          <w:rFonts w:ascii="Arial" w:hAnsi="Arial" w:cs="Arial"/>
          <w:sz w:val="40"/>
          <w:szCs w:val="40"/>
        </w:rPr>
        <w:t>METHODOLOGY</w:t>
      </w:r>
      <w:r w:rsidR="00936FF6" w:rsidRPr="1CB44818">
        <w:rPr>
          <w:rFonts w:ascii="Arial" w:hAnsi="Arial" w:cs="Arial"/>
          <w:sz w:val="40"/>
          <w:szCs w:val="40"/>
        </w:rPr>
        <w:t xml:space="preserve"> for </w:t>
      </w:r>
      <w:r w:rsidR="0029615B" w:rsidRPr="1CB44818">
        <w:rPr>
          <w:rFonts w:ascii="Arial" w:hAnsi="Arial" w:cs="Arial"/>
          <w:sz w:val="40"/>
          <w:szCs w:val="40"/>
        </w:rPr>
        <w:t xml:space="preserve">Covered California </w:t>
      </w:r>
      <w:r w:rsidR="00936FF6" w:rsidRPr="1CB44818">
        <w:rPr>
          <w:rFonts w:ascii="Arial" w:hAnsi="Arial" w:cs="Arial"/>
          <w:sz w:val="40"/>
          <w:szCs w:val="40"/>
        </w:rPr>
        <w:t>Utilization Reports</w:t>
      </w:r>
    </w:p>
    <w:p w14:paraId="1853F0B5" w14:textId="07236C65" w:rsidR="00BF7160" w:rsidRPr="00950877" w:rsidRDefault="0037178B" w:rsidP="66482771">
      <w:pPr>
        <w:jc w:val="center"/>
        <w:rPr>
          <w:rFonts w:ascii="Arial" w:eastAsia="Arial" w:hAnsi="Arial" w:cs="Arial"/>
          <w:sz w:val="22"/>
          <w:szCs w:val="22"/>
        </w:rPr>
      </w:pPr>
      <w:r>
        <w:rPr>
          <w:rFonts w:ascii="Arial" w:eastAsia="Arial" w:hAnsi="Arial" w:cs="Arial"/>
          <w:sz w:val="22"/>
          <w:szCs w:val="22"/>
        </w:rPr>
        <w:t>October</w:t>
      </w:r>
      <w:r w:rsidR="22445BD8" w:rsidRPr="00950877">
        <w:rPr>
          <w:rFonts w:ascii="Arial" w:eastAsia="Arial" w:hAnsi="Arial" w:cs="Arial"/>
          <w:sz w:val="22"/>
          <w:szCs w:val="22"/>
        </w:rPr>
        <w:t xml:space="preserve"> </w:t>
      </w:r>
      <w:r w:rsidR="00BF7160" w:rsidRPr="00950877">
        <w:rPr>
          <w:rFonts w:ascii="Arial" w:eastAsia="Arial" w:hAnsi="Arial" w:cs="Arial"/>
          <w:sz w:val="22"/>
          <w:szCs w:val="22"/>
        </w:rPr>
        <w:t>202</w:t>
      </w:r>
      <w:r w:rsidR="45F11E24" w:rsidRPr="00950877">
        <w:rPr>
          <w:rFonts w:ascii="Arial" w:eastAsia="Arial" w:hAnsi="Arial" w:cs="Arial"/>
          <w:sz w:val="22"/>
          <w:szCs w:val="22"/>
        </w:rPr>
        <w:t>5</w:t>
      </w:r>
    </w:p>
    <w:p w14:paraId="26EA4249" w14:textId="77777777" w:rsidR="00394E54" w:rsidRPr="00860003" w:rsidRDefault="00394E54" w:rsidP="66482771">
      <w:pPr>
        <w:rPr>
          <w:rFonts w:ascii="Arial" w:eastAsia="Arial" w:hAnsi="Arial" w:cs="Arial"/>
        </w:rPr>
      </w:pPr>
    </w:p>
    <w:p w14:paraId="22B77835" w14:textId="2EC6C8A2" w:rsidR="00394E54" w:rsidRPr="007728FF" w:rsidRDefault="00394E54" w:rsidP="00DC6A01">
      <w:pPr>
        <w:pStyle w:val="Heading2"/>
        <w:rPr>
          <w:rFonts w:ascii="Arial" w:hAnsi="Arial" w:cs="Arial"/>
          <w:sz w:val="24"/>
          <w:szCs w:val="24"/>
        </w:rPr>
      </w:pPr>
      <w:r w:rsidRPr="007728FF">
        <w:rPr>
          <w:rFonts w:ascii="Arial" w:hAnsi="Arial" w:cs="Arial"/>
          <w:sz w:val="24"/>
          <w:szCs w:val="24"/>
        </w:rPr>
        <w:t>Background</w:t>
      </w:r>
    </w:p>
    <w:p w14:paraId="2843A957" w14:textId="069ED6E9" w:rsidR="4FDD740C" w:rsidRDefault="4FDD740C" w:rsidP="4FDD740C">
      <w:pPr>
        <w:pStyle w:val="NoSpacing"/>
      </w:pPr>
    </w:p>
    <w:p w14:paraId="671D43A9" w14:textId="2CB69A00" w:rsidR="00394E54" w:rsidRPr="00EB09F0" w:rsidRDefault="278DAFDF" w:rsidP="00EB09F0">
      <w:pPr>
        <w:spacing w:before="0" w:after="0" w:line="240" w:lineRule="auto"/>
        <w:rPr>
          <w:rFonts w:ascii="Arial" w:eastAsia="Arial" w:hAnsi="Arial" w:cs="Arial"/>
          <w:sz w:val="22"/>
          <w:szCs w:val="22"/>
        </w:rPr>
      </w:pPr>
      <w:r w:rsidRPr="00EB09F0">
        <w:rPr>
          <w:rFonts w:ascii="Arial" w:hAnsi="Arial" w:cs="Arial"/>
          <w:sz w:val="22"/>
          <w:szCs w:val="22"/>
        </w:rPr>
        <w:t>California law, as amended by A</w:t>
      </w:r>
      <w:r w:rsidR="005E4A82">
        <w:rPr>
          <w:rFonts w:ascii="Arial" w:hAnsi="Arial" w:cs="Arial"/>
          <w:sz w:val="22"/>
          <w:szCs w:val="22"/>
        </w:rPr>
        <w:t>ssembly Bill (AB)</w:t>
      </w:r>
      <w:r w:rsidRPr="00EB09F0">
        <w:rPr>
          <w:rFonts w:ascii="Arial" w:hAnsi="Arial" w:cs="Arial"/>
          <w:sz w:val="22"/>
          <w:szCs w:val="22"/>
        </w:rPr>
        <w:t xml:space="preserve"> 929</w:t>
      </w:r>
      <w:r w:rsidR="510B6A65" w:rsidRPr="00EB09F0">
        <w:rPr>
          <w:rFonts w:ascii="Arial" w:hAnsi="Arial" w:cs="Arial"/>
          <w:sz w:val="22"/>
          <w:szCs w:val="22"/>
        </w:rPr>
        <w:t xml:space="preserve"> (2019)</w:t>
      </w:r>
      <w:r w:rsidRPr="00EB09F0">
        <w:rPr>
          <w:rFonts w:ascii="Arial" w:hAnsi="Arial" w:cs="Arial"/>
          <w:sz w:val="22"/>
          <w:szCs w:val="22"/>
        </w:rPr>
        <w:t xml:space="preserve">, confirms Covered California's </w:t>
      </w:r>
      <w:r w:rsidR="1FF9D921" w:rsidRPr="00EB09F0">
        <w:rPr>
          <w:rFonts w:ascii="Arial" w:hAnsi="Arial" w:cs="Arial"/>
          <w:sz w:val="22"/>
          <w:szCs w:val="22"/>
        </w:rPr>
        <w:t>capacity as a health</w:t>
      </w:r>
      <w:r w:rsidR="22B9D609" w:rsidRPr="00EB09F0">
        <w:rPr>
          <w:rFonts w:ascii="Arial" w:hAnsi="Arial" w:cs="Arial"/>
          <w:sz w:val="22"/>
          <w:szCs w:val="22"/>
        </w:rPr>
        <w:t xml:space="preserve"> care</w:t>
      </w:r>
      <w:r w:rsidR="1FF9D921" w:rsidRPr="00EB09F0">
        <w:rPr>
          <w:rFonts w:ascii="Arial" w:hAnsi="Arial" w:cs="Arial"/>
          <w:sz w:val="22"/>
          <w:szCs w:val="22"/>
        </w:rPr>
        <w:t xml:space="preserve"> oversight agency and</w:t>
      </w:r>
      <w:r w:rsidR="58CE7271" w:rsidRPr="00EB09F0">
        <w:rPr>
          <w:rFonts w:ascii="Arial" w:hAnsi="Arial" w:cs="Arial"/>
          <w:sz w:val="22"/>
          <w:szCs w:val="22"/>
        </w:rPr>
        <w:t>,</w:t>
      </w:r>
      <w:r w:rsidR="1FF9D921" w:rsidRPr="00EB09F0">
        <w:rPr>
          <w:rFonts w:ascii="Arial" w:hAnsi="Arial" w:cs="Arial"/>
          <w:sz w:val="22"/>
          <w:szCs w:val="22"/>
        </w:rPr>
        <w:t xml:space="preserve"> </w:t>
      </w:r>
      <w:r w:rsidR="5866AE94" w:rsidRPr="00EB09F0">
        <w:rPr>
          <w:rFonts w:ascii="Arial" w:hAnsi="Arial" w:cs="Arial"/>
          <w:sz w:val="22"/>
          <w:szCs w:val="22"/>
        </w:rPr>
        <w:t>to this end</w:t>
      </w:r>
      <w:r w:rsidR="7020E4E5" w:rsidRPr="00EB09F0">
        <w:rPr>
          <w:rFonts w:ascii="Arial" w:hAnsi="Arial" w:cs="Arial"/>
          <w:sz w:val="22"/>
          <w:szCs w:val="22"/>
        </w:rPr>
        <w:t>,</w:t>
      </w:r>
      <w:r w:rsidR="5866AE94" w:rsidRPr="00EB09F0">
        <w:rPr>
          <w:rFonts w:ascii="Arial" w:hAnsi="Arial" w:cs="Arial"/>
          <w:sz w:val="22"/>
          <w:szCs w:val="22"/>
        </w:rPr>
        <w:t xml:space="preserve"> </w:t>
      </w:r>
      <w:r w:rsidR="1FF9D921" w:rsidRPr="00EB09F0">
        <w:rPr>
          <w:rFonts w:ascii="Arial" w:hAnsi="Arial" w:cs="Arial"/>
          <w:sz w:val="22"/>
          <w:szCs w:val="22"/>
        </w:rPr>
        <w:t xml:space="preserve">grants </w:t>
      </w:r>
      <w:r w:rsidRPr="00EB09F0">
        <w:rPr>
          <w:rFonts w:ascii="Arial" w:hAnsi="Arial" w:cs="Arial"/>
          <w:sz w:val="22"/>
          <w:szCs w:val="22"/>
        </w:rPr>
        <w:t>access to</w:t>
      </w:r>
      <w:r w:rsidR="412AC9C9" w:rsidRPr="00EB09F0">
        <w:rPr>
          <w:rFonts w:ascii="Arial" w:eastAsia="Arial" w:hAnsi="Arial" w:cs="Arial"/>
          <w:sz w:val="22"/>
          <w:szCs w:val="22"/>
        </w:rPr>
        <w:t xml:space="preserve"> individual and small group market</w:t>
      </w:r>
      <w:r w:rsidRPr="00EB09F0">
        <w:rPr>
          <w:rFonts w:ascii="Arial" w:hAnsi="Arial" w:cs="Arial"/>
          <w:sz w:val="22"/>
          <w:szCs w:val="22"/>
        </w:rPr>
        <w:t xml:space="preserve"> health data</w:t>
      </w:r>
      <w:r w:rsidR="32F6EBD0" w:rsidRPr="00EB09F0">
        <w:rPr>
          <w:rFonts w:ascii="Arial" w:hAnsi="Arial" w:cs="Arial"/>
          <w:sz w:val="22"/>
          <w:szCs w:val="22"/>
        </w:rPr>
        <w:t>.</w:t>
      </w:r>
      <w:r w:rsidR="27FF2F64" w:rsidRPr="00EB09F0">
        <w:rPr>
          <w:rFonts w:ascii="Arial" w:hAnsi="Arial" w:cs="Arial"/>
          <w:sz w:val="22"/>
          <w:szCs w:val="22"/>
        </w:rPr>
        <w:t xml:space="preserve"> </w:t>
      </w:r>
      <w:r w:rsidR="2A2F4C6D" w:rsidRPr="00EB09F0">
        <w:rPr>
          <w:rFonts w:ascii="Arial" w:hAnsi="Arial" w:cs="Arial"/>
          <w:sz w:val="22"/>
          <w:szCs w:val="22"/>
        </w:rPr>
        <w:t xml:space="preserve">Developed in partnership with Qualified </w:t>
      </w:r>
      <w:r w:rsidR="4A798989" w:rsidRPr="00EB09F0">
        <w:rPr>
          <w:rFonts w:ascii="Arial" w:hAnsi="Arial" w:cs="Arial"/>
          <w:sz w:val="22"/>
          <w:szCs w:val="22"/>
        </w:rPr>
        <w:t>H</w:t>
      </w:r>
      <w:r w:rsidR="2A2F4C6D" w:rsidRPr="00EB09F0">
        <w:rPr>
          <w:rFonts w:ascii="Arial" w:hAnsi="Arial" w:cs="Arial"/>
          <w:sz w:val="22"/>
          <w:szCs w:val="22"/>
        </w:rPr>
        <w:t xml:space="preserve">ealth </w:t>
      </w:r>
      <w:r w:rsidR="5BD823F6" w:rsidRPr="00EB09F0">
        <w:rPr>
          <w:rFonts w:ascii="Arial" w:hAnsi="Arial" w:cs="Arial"/>
          <w:sz w:val="22"/>
          <w:szCs w:val="22"/>
        </w:rPr>
        <w:t>P</w:t>
      </w:r>
      <w:r w:rsidR="2A2F4C6D" w:rsidRPr="00EB09F0">
        <w:rPr>
          <w:rFonts w:ascii="Arial" w:hAnsi="Arial" w:cs="Arial"/>
          <w:sz w:val="22"/>
          <w:szCs w:val="22"/>
        </w:rPr>
        <w:t xml:space="preserve">lans (QHP), </w:t>
      </w:r>
      <w:r w:rsidR="5D75D643" w:rsidRPr="00EB09F0">
        <w:rPr>
          <w:rFonts w:ascii="Arial" w:eastAsia="Arial" w:hAnsi="Arial" w:cs="Arial"/>
          <w:sz w:val="22"/>
          <w:szCs w:val="22"/>
        </w:rPr>
        <w:t>Covered California’s claims data</w:t>
      </w:r>
      <w:r w:rsidR="0EB79BA5" w:rsidRPr="00EB09F0">
        <w:rPr>
          <w:rFonts w:ascii="Arial" w:eastAsia="Arial" w:hAnsi="Arial" w:cs="Arial"/>
          <w:sz w:val="22"/>
          <w:szCs w:val="22"/>
        </w:rPr>
        <w:t xml:space="preserve"> </w:t>
      </w:r>
      <w:r w:rsidR="6A580D92" w:rsidRPr="00EB09F0">
        <w:rPr>
          <w:rFonts w:ascii="Arial" w:eastAsia="Arial" w:hAnsi="Arial" w:cs="Arial"/>
          <w:sz w:val="22"/>
          <w:szCs w:val="22"/>
        </w:rPr>
        <w:t>warehouse</w:t>
      </w:r>
      <w:r w:rsidR="14C5A73D" w:rsidRPr="00EB09F0">
        <w:rPr>
          <w:rFonts w:ascii="Arial" w:eastAsia="Arial" w:hAnsi="Arial" w:cs="Arial"/>
          <w:sz w:val="22"/>
          <w:szCs w:val="22"/>
        </w:rPr>
        <w:t>, known as the</w:t>
      </w:r>
      <w:r w:rsidR="5F62714D" w:rsidRPr="00EB09F0">
        <w:rPr>
          <w:rFonts w:ascii="Arial" w:eastAsia="Arial" w:hAnsi="Arial" w:cs="Arial"/>
          <w:sz w:val="22"/>
          <w:szCs w:val="22"/>
        </w:rPr>
        <w:t xml:space="preserve"> </w:t>
      </w:r>
      <w:r w:rsidR="467F8FBA" w:rsidRPr="00EB09F0">
        <w:rPr>
          <w:rFonts w:ascii="Arial" w:eastAsia="Arial" w:hAnsi="Arial" w:cs="Arial"/>
          <w:sz w:val="22"/>
          <w:szCs w:val="22"/>
        </w:rPr>
        <w:t>Health Evidence Initiative (</w:t>
      </w:r>
      <w:r w:rsidR="5F62714D" w:rsidRPr="00EB09F0">
        <w:rPr>
          <w:rFonts w:ascii="Arial" w:eastAsia="Arial" w:hAnsi="Arial" w:cs="Arial"/>
          <w:sz w:val="22"/>
          <w:szCs w:val="22"/>
        </w:rPr>
        <w:t>HEI</w:t>
      </w:r>
      <w:r w:rsidR="2B2ADDB2" w:rsidRPr="00EB09F0">
        <w:rPr>
          <w:rFonts w:ascii="Arial" w:eastAsia="Arial" w:hAnsi="Arial" w:cs="Arial"/>
          <w:sz w:val="22"/>
          <w:szCs w:val="22"/>
        </w:rPr>
        <w:t>),</w:t>
      </w:r>
      <w:r w:rsidR="4AF3828D" w:rsidRPr="00EB09F0">
        <w:rPr>
          <w:rFonts w:ascii="Arial" w:eastAsia="Arial" w:hAnsi="Arial" w:cs="Arial"/>
          <w:sz w:val="22"/>
          <w:szCs w:val="22"/>
        </w:rPr>
        <w:t xml:space="preserve"> is used to </w:t>
      </w:r>
      <w:r w:rsidR="59CF5F1D" w:rsidRPr="00EB09F0">
        <w:rPr>
          <w:rFonts w:ascii="Arial" w:eastAsia="Arial" w:hAnsi="Arial" w:cs="Arial"/>
          <w:sz w:val="22"/>
          <w:szCs w:val="22"/>
        </w:rPr>
        <w:t>both inform Covered California's policy choices and requirements as an active purchaser and inform public and private policy more broadly.</w:t>
      </w:r>
    </w:p>
    <w:p w14:paraId="012CF20B" w14:textId="77777777" w:rsidR="00EB09F0" w:rsidRPr="00EB09F0" w:rsidRDefault="00EB09F0" w:rsidP="00EB09F0">
      <w:pPr>
        <w:spacing w:before="0" w:after="0" w:line="240" w:lineRule="auto"/>
        <w:rPr>
          <w:rFonts w:ascii="Arial" w:eastAsia="Arial" w:hAnsi="Arial" w:cs="Arial"/>
          <w:sz w:val="22"/>
          <w:szCs w:val="22"/>
        </w:rPr>
      </w:pPr>
    </w:p>
    <w:p w14:paraId="68B9AA72" w14:textId="318AD6D6" w:rsidR="00394E54" w:rsidRDefault="1D5A3D7C" w:rsidP="00EB09F0">
      <w:pPr>
        <w:spacing w:before="0" w:after="0" w:line="240" w:lineRule="auto"/>
        <w:rPr>
          <w:rFonts w:ascii="Arial" w:hAnsi="Arial" w:cs="Arial"/>
          <w:sz w:val="22"/>
          <w:szCs w:val="22"/>
        </w:rPr>
      </w:pPr>
      <w:r w:rsidRPr="00EB09F0">
        <w:rPr>
          <w:rFonts w:ascii="Arial" w:eastAsia="Arial" w:hAnsi="Arial" w:cs="Arial"/>
          <w:sz w:val="22"/>
          <w:szCs w:val="22"/>
        </w:rPr>
        <w:t>Covered California has</w:t>
      </w:r>
      <w:r w:rsidR="725B1196" w:rsidRPr="00EB09F0">
        <w:rPr>
          <w:rFonts w:ascii="Arial" w:eastAsia="Arial" w:hAnsi="Arial" w:cs="Arial"/>
          <w:sz w:val="22"/>
          <w:szCs w:val="22"/>
        </w:rPr>
        <w:t xml:space="preserve"> compile</w:t>
      </w:r>
      <w:r w:rsidR="1D63AB12" w:rsidRPr="00EB09F0">
        <w:rPr>
          <w:rFonts w:ascii="Arial" w:eastAsia="Arial" w:hAnsi="Arial" w:cs="Arial"/>
          <w:sz w:val="22"/>
          <w:szCs w:val="22"/>
        </w:rPr>
        <w:t>d</w:t>
      </w:r>
      <w:r w:rsidR="725B1196" w:rsidRPr="00EB09F0">
        <w:rPr>
          <w:rFonts w:ascii="Arial" w:eastAsia="Arial" w:hAnsi="Arial" w:cs="Arial"/>
          <w:sz w:val="22"/>
          <w:szCs w:val="22"/>
        </w:rPr>
        <w:t xml:space="preserve"> key</w:t>
      </w:r>
      <w:r w:rsidR="4200D9FB" w:rsidRPr="00EB09F0">
        <w:rPr>
          <w:rFonts w:ascii="Arial" w:eastAsia="Arial" w:hAnsi="Arial" w:cs="Arial"/>
          <w:sz w:val="22"/>
          <w:szCs w:val="22"/>
        </w:rPr>
        <w:t xml:space="preserve"> utilization</w:t>
      </w:r>
      <w:r w:rsidR="725B1196" w:rsidRPr="00EB09F0">
        <w:rPr>
          <w:rFonts w:ascii="Arial" w:eastAsia="Arial" w:hAnsi="Arial" w:cs="Arial"/>
          <w:sz w:val="22"/>
          <w:szCs w:val="22"/>
        </w:rPr>
        <w:t xml:space="preserve"> performance indicators from HEI data into an annual public report, </w:t>
      </w:r>
      <w:r w:rsidR="4200D9FB" w:rsidRPr="00EB09F0">
        <w:rPr>
          <w:rFonts w:ascii="Arial" w:eastAsia="Arial" w:hAnsi="Arial" w:cs="Arial"/>
          <w:sz w:val="22"/>
          <w:szCs w:val="22"/>
        </w:rPr>
        <w:t xml:space="preserve">disaggregated by </w:t>
      </w:r>
      <w:r w:rsidR="6C1C26EC" w:rsidRPr="00EB09F0">
        <w:rPr>
          <w:rFonts w:ascii="Arial" w:eastAsia="Arial" w:hAnsi="Arial" w:cs="Arial"/>
          <w:sz w:val="22"/>
          <w:szCs w:val="22"/>
        </w:rPr>
        <w:t>enrollee</w:t>
      </w:r>
      <w:r w:rsidR="4200D9FB" w:rsidRPr="00EB09F0">
        <w:rPr>
          <w:rFonts w:ascii="Arial" w:eastAsia="Arial" w:hAnsi="Arial" w:cs="Arial"/>
          <w:sz w:val="22"/>
          <w:szCs w:val="22"/>
        </w:rPr>
        <w:t xml:space="preserve"> demographics of interest. </w:t>
      </w:r>
      <w:r w:rsidR="74949437" w:rsidRPr="00EB09F0">
        <w:rPr>
          <w:rFonts w:ascii="Arial" w:eastAsia="Arial" w:hAnsi="Arial" w:cs="Arial"/>
          <w:sz w:val="22"/>
          <w:szCs w:val="22"/>
        </w:rPr>
        <w:t>While the</w:t>
      </w:r>
      <w:r w:rsidR="69AAE0C8" w:rsidRPr="00EB09F0">
        <w:rPr>
          <w:rFonts w:ascii="Arial" w:eastAsia="Arial" w:hAnsi="Arial" w:cs="Arial"/>
          <w:sz w:val="22"/>
          <w:szCs w:val="22"/>
        </w:rPr>
        <w:t xml:space="preserve">se </w:t>
      </w:r>
      <w:r w:rsidR="74949437" w:rsidRPr="00EB09F0">
        <w:rPr>
          <w:rFonts w:ascii="Arial" w:eastAsia="Arial" w:hAnsi="Arial" w:cs="Arial"/>
          <w:sz w:val="22"/>
          <w:szCs w:val="22"/>
        </w:rPr>
        <w:t xml:space="preserve">reports </w:t>
      </w:r>
      <w:r w:rsidR="08FF54C0" w:rsidRPr="00EB09F0">
        <w:rPr>
          <w:rFonts w:ascii="Arial" w:eastAsia="Arial" w:hAnsi="Arial" w:cs="Arial"/>
          <w:sz w:val="22"/>
          <w:szCs w:val="22"/>
        </w:rPr>
        <w:t>have similarities to</w:t>
      </w:r>
      <w:r w:rsidR="74949437" w:rsidRPr="00EB09F0">
        <w:rPr>
          <w:rFonts w:ascii="Arial" w:eastAsia="Arial" w:hAnsi="Arial" w:cs="Arial"/>
          <w:sz w:val="22"/>
          <w:szCs w:val="22"/>
        </w:rPr>
        <w:t xml:space="preserve"> the</w:t>
      </w:r>
      <w:r w:rsidR="1586FE88" w:rsidRPr="00EB09F0">
        <w:rPr>
          <w:rFonts w:ascii="Arial" w:eastAsia="Arial" w:hAnsi="Arial" w:cs="Arial"/>
          <w:sz w:val="22"/>
          <w:szCs w:val="22"/>
        </w:rPr>
        <w:t xml:space="preserve"> Plan Performance Report (PPR)</w:t>
      </w:r>
      <w:r w:rsidR="085A4480" w:rsidRPr="00EB09F0">
        <w:rPr>
          <w:rFonts w:ascii="Arial" w:eastAsia="Arial" w:hAnsi="Arial" w:cs="Arial"/>
          <w:sz w:val="22"/>
          <w:szCs w:val="22"/>
        </w:rPr>
        <w:t>,</w:t>
      </w:r>
      <w:r w:rsidR="74949437" w:rsidRPr="00EB09F0">
        <w:rPr>
          <w:rFonts w:ascii="Arial" w:eastAsia="Arial" w:hAnsi="Arial" w:cs="Arial"/>
          <w:sz w:val="22"/>
          <w:szCs w:val="22"/>
        </w:rPr>
        <w:t xml:space="preserve"> their </w:t>
      </w:r>
      <w:r w:rsidR="77C012A0" w:rsidRPr="00EB09F0">
        <w:rPr>
          <w:rFonts w:ascii="Arial" w:eastAsia="Arial" w:hAnsi="Arial" w:cs="Arial"/>
          <w:sz w:val="22"/>
          <w:szCs w:val="22"/>
        </w:rPr>
        <w:t>i</w:t>
      </w:r>
      <w:r w:rsidR="74949437" w:rsidRPr="00EB09F0">
        <w:rPr>
          <w:rFonts w:ascii="Arial" w:eastAsia="Arial" w:hAnsi="Arial" w:cs="Arial"/>
          <w:sz w:val="22"/>
          <w:szCs w:val="22"/>
        </w:rPr>
        <w:t>ntended purpose is to</w:t>
      </w:r>
      <w:r w:rsidR="2C574FCB" w:rsidRPr="00EB09F0">
        <w:rPr>
          <w:rFonts w:ascii="Arial" w:eastAsia="Arial" w:hAnsi="Arial" w:cs="Arial"/>
          <w:sz w:val="22"/>
          <w:szCs w:val="22"/>
        </w:rPr>
        <w:t xml:space="preserve"> supplement the</w:t>
      </w:r>
      <w:r w:rsidR="14A80CF2" w:rsidRPr="00EB09F0">
        <w:rPr>
          <w:rFonts w:ascii="Arial" w:eastAsia="Arial" w:hAnsi="Arial" w:cs="Arial"/>
          <w:sz w:val="22"/>
          <w:szCs w:val="22"/>
        </w:rPr>
        <w:t xml:space="preserve"> PPR</w:t>
      </w:r>
      <w:r w:rsidR="2C574FCB" w:rsidRPr="00EB09F0">
        <w:rPr>
          <w:rFonts w:ascii="Arial" w:eastAsia="Arial" w:hAnsi="Arial" w:cs="Arial"/>
          <w:sz w:val="22"/>
          <w:szCs w:val="22"/>
        </w:rPr>
        <w:t xml:space="preserve"> with</w:t>
      </w:r>
      <w:r w:rsidR="1234C0A3" w:rsidRPr="00EB09F0">
        <w:rPr>
          <w:rFonts w:ascii="Arial" w:eastAsia="Arial" w:hAnsi="Arial" w:cs="Arial"/>
          <w:sz w:val="22"/>
          <w:szCs w:val="22"/>
        </w:rPr>
        <w:t xml:space="preserve"> detailed</w:t>
      </w:r>
      <w:r w:rsidR="74949437" w:rsidRPr="00EB09F0">
        <w:rPr>
          <w:rFonts w:ascii="Arial" w:eastAsia="Arial" w:hAnsi="Arial" w:cs="Arial"/>
          <w:sz w:val="22"/>
          <w:szCs w:val="22"/>
        </w:rPr>
        <w:t xml:space="preserve"> </w:t>
      </w:r>
      <w:r w:rsidR="01779B79" w:rsidRPr="00EB09F0">
        <w:rPr>
          <w:rFonts w:ascii="Arial" w:eastAsia="Arial" w:hAnsi="Arial" w:cs="Arial"/>
          <w:sz w:val="22"/>
          <w:szCs w:val="22"/>
        </w:rPr>
        <w:t xml:space="preserve">health care </w:t>
      </w:r>
      <w:r w:rsidR="76F91AC3" w:rsidRPr="00EB09F0">
        <w:rPr>
          <w:rFonts w:ascii="Arial" w:eastAsia="Arial" w:hAnsi="Arial" w:cs="Arial"/>
          <w:sz w:val="22"/>
          <w:szCs w:val="22"/>
        </w:rPr>
        <w:t>utilization</w:t>
      </w:r>
      <w:r w:rsidR="7AFF4978" w:rsidRPr="00EB09F0">
        <w:rPr>
          <w:rFonts w:ascii="Arial" w:eastAsia="Arial" w:hAnsi="Arial" w:cs="Arial"/>
          <w:sz w:val="22"/>
          <w:szCs w:val="22"/>
        </w:rPr>
        <w:t xml:space="preserve"> </w:t>
      </w:r>
      <w:r w:rsidR="761A96DE" w:rsidRPr="00EB09F0">
        <w:rPr>
          <w:rFonts w:ascii="Arial" w:eastAsia="Arial" w:hAnsi="Arial" w:cs="Arial"/>
          <w:sz w:val="22"/>
          <w:szCs w:val="22"/>
        </w:rPr>
        <w:t>metrics</w:t>
      </w:r>
      <w:r w:rsidR="007F1B74" w:rsidRPr="00EB09F0">
        <w:rPr>
          <w:rFonts w:ascii="Arial" w:eastAsia="Arial" w:hAnsi="Arial" w:cs="Arial"/>
          <w:sz w:val="22"/>
          <w:szCs w:val="22"/>
        </w:rPr>
        <w:t xml:space="preserve">, along </w:t>
      </w:r>
      <w:r w:rsidR="00E258E9" w:rsidRPr="00EB09F0">
        <w:rPr>
          <w:rFonts w:ascii="Arial" w:eastAsia="Arial" w:hAnsi="Arial" w:cs="Arial"/>
          <w:sz w:val="22"/>
          <w:szCs w:val="22"/>
        </w:rPr>
        <w:t>a full set of demographic characteristics</w:t>
      </w:r>
      <w:r w:rsidR="15284E9B" w:rsidRPr="00EB09F0">
        <w:rPr>
          <w:rFonts w:ascii="Arial" w:eastAsia="Arial" w:hAnsi="Arial" w:cs="Arial"/>
          <w:sz w:val="22"/>
          <w:szCs w:val="22"/>
        </w:rPr>
        <w:t>.</w:t>
      </w:r>
      <w:r w:rsidR="00394E54" w:rsidRPr="00EB09F0">
        <w:rPr>
          <w:rStyle w:val="FootnoteReference"/>
          <w:rFonts w:ascii="Arial" w:eastAsia="Arial" w:hAnsi="Arial" w:cs="Arial"/>
          <w:sz w:val="22"/>
          <w:szCs w:val="22"/>
        </w:rPr>
        <w:footnoteReference w:id="2"/>
      </w:r>
      <w:r w:rsidR="3A46776A" w:rsidRPr="00EB09F0">
        <w:rPr>
          <w:rFonts w:ascii="Arial" w:eastAsia="Arial" w:hAnsi="Arial" w:cs="Arial"/>
          <w:sz w:val="22"/>
          <w:szCs w:val="22"/>
        </w:rPr>
        <w:t xml:space="preserve"> </w:t>
      </w:r>
      <w:r w:rsidR="3D008CEA" w:rsidRPr="00EB09F0">
        <w:rPr>
          <w:rFonts w:ascii="Arial" w:eastAsia="Arial" w:hAnsi="Arial" w:cs="Arial"/>
          <w:sz w:val="22"/>
          <w:szCs w:val="22"/>
        </w:rPr>
        <w:t>For a more plan-performance focus, t</w:t>
      </w:r>
      <w:r w:rsidR="6C600852" w:rsidRPr="00EB09F0">
        <w:rPr>
          <w:rFonts w:ascii="Arial" w:eastAsia="Arial" w:hAnsi="Arial" w:cs="Arial"/>
          <w:sz w:val="22"/>
          <w:szCs w:val="22"/>
        </w:rPr>
        <w:t>he annual P</w:t>
      </w:r>
      <w:r w:rsidR="2F9E743E" w:rsidRPr="00EB09F0">
        <w:rPr>
          <w:rFonts w:ascii="Arial" w:eastAsia="Arial" w:hAnsi="Arial" w:cs="Arial"/>
          <w:sz w:val="22"/>
          <w:szCs w:val="22"/>
        </w:rPr>
        <w:t>PR</w:t>
      </w:r>
      <w:r w:rsidR="6C600852" w:rsidRPr="00EB09F0">
        <w:rPr>
          <w:rFonts w:ascii="Arial" w:eastAsia="Arial" w:hAnsi="Arial" w:cs="Arial"/>
          <w:sz w:val="22"/>
          <w:szCs w:val="22"/>
        </w:rPr>
        <w:t xml:space="preserve"> </w:t>
      </w:r>
      <w:r w:rsidR="34AAC1D2" w:rsidRPr="00EB09F0">
        <w:rPr>
          <w:rFonts w:ascii="Arial" w:eastAsia="Arial" w:hAnsi="Arial" w:cs="Arial"/>
          <w:sz w:val="22"/>
          <w:szCs w:val="22"/>
        </w:rPr>
        <w:t xml:space="preserve">is </w:t>
      </w:r>
      <w:r w:rsidR="6C600852" w:rsidRPr="00EB09F0">
        <w:rPr>
          <w:rFonts w:ascii="Arial" w:eastAsia="Arial" w:hAnsi="Arial" w:cs="Arial"/>
          <w:sz w:val="22"/>
          <w:szCs w:val="22"/>
        </w:rPr>
        <w:t xml:space="preserve">available on Covered California’s </w:t>
      </w:r>
      <w:hyperlink r:id="rId11" w:history="1">
        <w:r w:rsidR="6C600852" w:rsidRPr="00EB09F0">
          <w:rPr>
            <w:rStyle w:val="Hyperlink"/>
            <w:rFonts w:ascii="Arial" w:eastAsia="Arial" w:hAnsi="Arial" w:cs="Arial"/>
            <w:sz w:val="22"/>
            <w:szCs w:val="22"/>
          </w:rPr>
          <w:t>website</w:t>
        </w:r>
        <w:r w:rsidR="21FACA41" w:rsidRPr="00EB09F0">
          <w:rPr>
            <w:rStyle w:val="Hyperlink"/>
            <w:rFonts w:ascii="Arial" w:eastAsia="Arial" w:hAnsi="Arial" w:cs="Arial"/>
            <w:sz w:val="22"/>
            <w:szCs w:val="22"/>
          </w:rPr>
          <w:t>.</w:t>
        </w:r>
      </w:hyperlink>
    </w:p>
    <w:p w14:paraId="6A28D6CE" w14:textId="77777777" w:rsidR="00EB09F0" w:rsidRPr="00EB09F0" w:rsidRDefault="00EB09F0" w:rsidP="00EB09F0">
      <w:pPr>
        <w:spacing w:before="0" w:after="0" w:line="240" w:lineRule="auto"/>
        <w:rPr>
          <w:rFonts w:ascii="Arial" w:eastAsia="Arial" w:hAnsi="Arial" w:cs="Arial"/>
          <w:sz w:val="22"/>
          <w:szCs w:val="22"/>
        </w:rPr>
      </w:pPr>
    </w:p>
    <w:p w14:paraId="42C0C6E0" w14:textId="72FD2D8F" w:rsidR="00936FF6" w:rsidRPr="007728FF" w:rsidRDefault="00936FF6" w:rsidP="00DC6A01">
      <w:pPr>
        <w:pStyle w:val="Heading2"/>
        <w:rPr>
          <w:rFonts w:ascii="Arial" w:hAnsi="Arial" w:cs="Arial"/>
          <w:sz w:val="24"/>
          <w:szCs w:val="24"/>
        </w:rPr>
      </w:pPr>
      <w:r w:rsidRPr="007728FF">
        <w:rPr>
          <w:rFonts w:ascii="Arial" w:hAnsi="Arial" w:cs="Arial"/>
          <w:sz w:val="24"/>
          <w:szCs w:val="24"/>
        </w:rPr>
        <w:t>Summary</w:t>
      </w:r>
    </w:p>
    <w:p w14:paraId="22C838A2" w14:textId="1817512C" w:rsidR="4FDD740C" w:rsidRDefault="4FDD740C" w:rsidP="4FDD740C">
      <w:pPr>
        <w:pStyle w:val="NoSpacing"/>
      </w:pPr>
    </w:p>
    <w:p w14:paraId="4FC6881A" w14:textId="26BE8A48" w:rsidR="00B70CAF" w:rsidRDefault="76B1BA8C" w:rsidP="00EB09F0">
      <w:pPr>
        <w:spacing w:before="0" w:after="0" w:line="240" w:lineRule="auto"/>
        <w:rPr>
          <w:rFonts w:ascii="Arial" w:eastAsia="Arial" w:hAnsi="Arial" w:cs="Arial"/>
          <w:sz w:val="22"/>
          <w:szCs w:val="22"/>
        </w:rPr>
      </w:pPr>
      <w:r w:rsidRPr="00EB09F0">
        <w:rPr>
          <w:rFonts w:ascii="Arial" w:eastAsia="Arial" w:hAnsi="Arial" w:cs="Arial"/>
          <w:sz w:val="22"/>
          <w:szCs w:val="22"/>
        </w:rPr>
        <w:t xml:space="preserve">The </w:t>
      </w:r>
      <w:r w:rsidR="223D3B8B" w:rsidRPr="00EB09F0">
        <w:rPr>
          <w:rFonts w:ascii="Arial" w:eastAsia="Arial" w:hAnsi="Arial" w:cs="Arial"/>
          <w:sz w:val="22"/>
          <w:szCs w:val="22"/>
        </w:rPr>
        <w:t xml:space="preserve">Covered California </w:t>
      </w:r>
      <w:r w:rsidRPr="00EB09F0">
        <w:rPr>
          <w:rFonts w:ascii="Arial" w:eastAsia="Arial" w:hAnsi="Arial" w:cs="Arial"/>
          <w:sz w:val="22"/>
          <w:szCs w:val="22"/>
        </w:rPr>
        <w:t>Utilization Reports are a public</w:t>
      </w:r>
      <w:r w:rsidR="674BF2AD" w:rsidRPr="00EB09F0">
        <w:rPr>
          <w:rFonts w:ascii="Arial" w:eastAsia="Arial" w:hAnsi="Arial" w:cs="Arial"/>
          <w:sz w:val="22"/>
          <w:szCs w:val="22"/>
        </w:rPr>
        <w:t>-</w:t>
      </w:r>
      <w:r w:rsidRPr="00EB09F0">
        <w:rPr>
          <w:rFonts w:ascii="Arial" w:eastAsia="Arial" w:hAnsi="Arial" w:cs="Arial"/>
          <w:sz w:val="22"/>
          <w:szCs w:val="22"/>
        </w:rPr>
        <w:t>facing set of tables that show health utilization by</w:t>
      </w:r>
      <w:r w:rsidR="0465FDFA" w:rsidRPr="00EB09F0">
        <w:rPr>
          <w:rFonts w:ascii="Arial" w:eastAsia="Arial" w:hAnsi="Arial" w:cs="Arial"/>
          <w:sz w:val="22"/>
          <w:szCs w:val="22"/>
        </w:rPr>
        <w:t xml:space="preserve"> service category,</w:t>
      </w:r>
      <w:r w:rsidRPr="00EB09F0">
        <w:rPr>
          <w:rFonts w:ascii="Arial" w:eastAsia="Arial" w:hAnsi="Arial" w:cs="Arial"/>
          <w:sz w:val="22"/>
          <w:szCs w:val="22"/>
        </w:rPr>
        <w:t xml:space="preserve"> </w:t>
      </w:r>
      <w:r w:rsidR="20869798" w:rsidRPr="00EB09F0">
        <w:rPr>
          <w:rFonts w:ascii="Arial" w:eastAsia="Arial" w:hAnsi="Arial" w:cs="Arial"/>
          <w:sz w:val="22"/>
          <w:szCs w:val="22"/>
        </w:rPr>
        <w:t>health status</w:t>
      </w:r>
      <w:r w:rsidR="12E40CE1" w:rsidRPr="00EB09F0">
        <w:rPr>
          <w:rFonts w:ascii="Arial" w:eastAsia="Arial" w:hAnsi="Arial" w:cs="Arial"/>
          <w:sz w:val="22"/>
          <w:szCs w:val="22"/>
        </w:rPr>
        <w:t xml:space="preserve"> and </w:t>
      </w:r>
      <w:r w:rsidRPr="00EB09F0">
        <w:rPr>
          <w:rFonts w:ascii="Arial" w:eastAsia="Arial" w:hAnsi="Arial" w:cs="Arial"/>
          <w:sz w:val="22"/>
          <w:szCs w:val="22"/>
        </w:rPr>
        <w:t>demographic subdivisions</w:t>
      </w:r>
      <w:r w:rsidR="223D3B8B" w:rsidRPr="00EB09F0">
        <w:rPr>
          <w:rFonts w:ascii="Arial" w:eastAsia="Arial" w:hAnsi="Arial" w:cs="Arial"/>
          <w:sz w:val="22"/>
          <w:szCs w:val="22"/>
        </w:rPr>
        <w:t xml:space="preserve"> for on-exchange </w:t>
      </w:r>
      <w:r w:rsidR="2AD2AA96" w:rsidRPr="00EB09F0">
        <w:rPr>
          <w:rFonts w:ascii="Arial" w:eastAsia="Arial" w:hAnsi="Arial" w:cs="Arial"/>
          <w:sz w:val="22"/>
          <w:szCs w:val="22"/>
        </w:rPr>
        <w:t xml:space="preserve">individual </w:t>
      </w:r>
      <w:r w:rsidR="20869798" w:rsidRPr="00EB09F0">
        <w:rPr>
          <w:rFonts w:ascii="Arial" w:eastAsia="Arial" w:hAnsi="Arial" w:cs="Arial"/>
          <w:sz w:val="22"/>
          <w:szCs w:val="22"/>
        </w:rPr>
        <w:t>health plan</w:t>
      </w:r>
      <w:r w:rsidR="2AD2AA96" w:rsidRPr="00EB09F0">
        <w:rPr>
          <w:rFonts w:ascii="Arial" w:eastAsia="Arial" w:hAnsi="Arial" w:cs="Arial"/>
          <w:sz w:val="22"/>
          <w:szCs w:val="22"/>
        </w:rPr>
        <w:t xml:space="preserve"> </w:t>
      </w:r>
      <w:proofErr w:type="gramStart"/>
      <w:r w:rsidR="2AD2AA96" w:rsidRPr="00EB09F0">
        <w:rPr>
          <w:rFonts w:ascii="Arial" w:eastAsia="Arial" w:hAnsi="Arial" w:cs="Arial"/>
          <w:sz w:val="22"/>
          <w:szCs w:val="22"/>
        </w:rPr>
        <w:t>enrollee</w:t>
      </w:r>
      <w:r w:rsidR="0098035F" w:rsidRPr="00EB09F0">
        <w:rPr>
          <w:rFonts w:ascii="Arial" w:eastAsia="Arial" w:hAnsi="Arial" w:cs="Arial"/>
          <w:sz w:val="22"/>
          <w:szCs w:val="22"/>
        </w:rPr>
        <w:t>s</w:t>
      </w:r>
      <w:proofErr w:type="gramEnd"/>
      <w:r w:rsidR="0098035F" w:rsidRPr="00EB09F0">
        <w:rPr>
          <w:rFonts w:ascii="Arial" w:eastAsia="Arial" w:hAnsi="Arial" w:cs="Arial"/>
          <w:sz w:val="22"/>
          <w:szCs w:val="22"/>
        </w:rPr>
        <w:t xml:space="preserve"> on a calendar year basis.</w:t>
      </w:r>
    </w:p>
    <w:p w14:paraId="1ABA83C3" w14:textId="77777777" w:rsidR="00F77BE0" w:rsidRPr="00EB09F0" w:rsidRDefault="00F77BE0" w:rsidP="00EB09F0">
      <w:pPr>
        <w:spacing w:before="0" w:after="0" w:line="240" w:lineRule="auto"/>
        <w:rPr>
          <w:rFonts w:ascii="Arial" w:eastAsia="Arial" w:hAnsi="Arial" w:cs="Arial"/>
          <w:sz w:val="22"/>
          <w:szCs w:val="22"/>
        </w:rPr>
      </w:pPr>
    </w:p>
    <w:p w14:paraId="603F586A" w14:textId="680815B8" w:rsidR="00936FF6" w:rsidRPr="007728FF" w:rsidRDefault="00936FF6" w:rsidP="00DC6A01">
      <w:pPr>
        <w:pStyle w:val="Heading2"/>
        <w:rPr>
          <w:rFonts w:ascii="Arial" w:hAnsi="Arial" w:cs="Arial"/>
          <w:sz w:val="24"/>
          <w:szCs w:val="24"/>
        </w:rPr>
      </w:pPr>
      <w:r w:rsidRPr="007728FF">
        <w:rPr>
          <w:rFonts w:ascii="Arial" w:hAnsi="Arial" w:cs="Arial"/>
          <w:sz w:val="24"/>
          <w:szCs w:val="24"/>
        </w:rPr>
        <w:t>Methodology</w:t>
      </w:r>
    </w:p>
    <w:p w14:paraId="7D41D270" w14:textId="77777777" w:rsidR="00F77BE0" w:rsidRDefault="00F77BE0" w:rsidP="00F16A6D">
      <w:pPr>
        <w:spacing w:before="0" w:after="0" w:line="240" w:lineRule="auto"/>
        <w:rPr>
          <w:rStyle w:val="CommentReference"/>
          <w:rFonts w:ascii="Arial" w:hAnsi="Arial" w:cs="Arial"/>
          <w:sz w:val="22"/>
          <w:szCs w:val="20"/>
        </w:rPr>
      </w:pPr>
    </w:p>
    <w:p w14:paraId="441366FF" w14:textId="6846C008" w:rsidR="00B70CAF" w:rsidRPr="00F16A6D" w:rsidRDefault="00DD695D" w:rsidP="00F16A6D">
      <w:pPr>
        <w:spacing w:before="0" w:after="0" w:line="240" w:lineRule="auto"/>
        <w:rPr>
          <w:rFonts w:ascii="Arial" w:eastAsia="Arial" w:hAnsi="Arial" w:cs="Arial"/>
          <w:sz w:val="22"/>
        </w:rPr>
      </w:pPr>
      <w:r w:rsidRPr="00F16A6D">
        <w:rPr>
          <w:rStyle w:val="CommentReference"/>
          <w:rFonts w:ascii="Arial" w:hAnsi="Arial" w:cs="Arial"/>
          <w:sz w:val="22"/>
          <w:szCs w:val="20"/>
        </w:rPr>
        <w:t>Th</w:t>
      </w:r>
      <w:r w:rsidR="0C9934DC" w:rsidRPr="00F16A6D">
        <w:rPr>
          <w:rFonts w:ascii="Arial" w:eastAsia="Arial" w:hAnsi="Arial" w:cs="Arial"/>
          <w:sz w:val="22"/>
        </w:rPr>
        <w:t xml:space="preserve">e report is divided into four tabs </w:t>
      </w:r>
      <w:r w:rsidR="00E972A3" w:rsidRPr="00F16A6D">
        <w:rPr>
          <w:rFonts w:ascii="Arial" w:eastAsia="Arial" w:hAnsi="Arial" w:cs="Arial"/>
          <w:sz w:val="22"/>
        </w:rPr>
        <w:t>based on</w:t>
      </w:r>
      <w:r w:rsidR="0C9934DC" w:rsidRPr="00F16A6D">
        <w:rPr>
          <w:rFonts w:ascii="Arial" w:eastAsia="Arial" w:hAnsi="Arial" w:cs="Arial"/>
          <w:sz w:val="22"/>
        </w:rPr>
        <w:t xml:space="preserve"> </w:t>
      </w:r>
      <w:r w:rsidR="00B335E4" w:rsidRPr="00F16A6D">
        <w:rPr>
          <w:rFonts w:ascii="Arial" w:eastAsia="Arial" w:hAnsi="Arial" w:cs="Arial"/>
          <w:sz w:val="22"/>
        </w:rPr>
        <w:t>members status with various health conditions</w:t>
      </w:r>
      <w:r w:rsidR="0C9934DC" w:rsidRPr="00F16A6D">
        <w:rPr>
          <w:rFonts w:ascii="Arial" w:eastAsia="Arial" w:hAnsi="Arial" w:cs="Arial"/>
          <w:sz w:val="22"/>
        </w:rPr>
        <w:t xml:space="preserve">: </w:t>
      </w:r>
      <w:r w:rsidR="008A6345" w:rsidRPr="00F16A6D">
        <w:rPr>
          <w:rFonts w:ascii="Arial" w:eastAsia="Arial" w:hAnsi="Arial" w:cs="Arial"/>
          <w:sz w:val="22"/>
        </w:rPr>
        <w:t>(1) the overall on-exchange individual market enrollee population, (2) m</w:t>
      </w:r>
      <w:r w:rsidR="0C9934DC" w:rsidRPr="00F16A6D">
        <w:rPr>
          <w:rFonts w:ascii="Arial" w:eastAsia="Arial" w:hAnsi="Arial" w:cs="Arial"/>
          <w:sz w:val="22"/>
        </w:rPr>
        <w:t xml:space="preserve">embers with a </w:t>
      </w:r>
      <w:r w:rsidR="008A6345" w:rsidRPr="00F16A6D">
        <w:rPr>
          <w:rFonts w:ascii="Arial" w:eastAsia="Arial" w:hAnsi="Arial" w:cs="Arial"/>
          <w:sz w:val="22"/>
        </w:rPr>
        <w:t>c</w:t>
      </w:r>
      <w:r w:rsidR="0C9934DC" w:rsidRPr="00F16A6D">
        <w:rPr>
          <w:rFonts w:ascii="Arial" w:eastAsia="Arial" w:hAnsi="Arial" w:cs="Arial"/>
          <w:sz w:val="22"/>
        </w:rPr>
        <w:t xml:space="preserve">hronic </w:t>
      </w:r>
      <w:r w:rsidR="008A6345" w:rsidRPr="00F16A6D">
        <w:rPr>
          <w:rFonts w:ascii="Arial" w:eastAsia="Arial" w:hAnsi="Arial" w:cs="Arial"/>
          <w:sz w:val="22"/>
        </w:rPr>
        <w:t>m</w:t>
      </w:r>
      <w:r w:rsidR="0C9934DC" w:rsidRPr="00F16A6D">
        <w:rPr>
          <w:rFonts w:ascii="Arial" w:eastAsia="Arial" w:hAnsi="Arial" w:cs="Arial"/>
          <w:sz w:val="22"/>
        </w:rPr>
        <w:t xml:space="preserve">edical </w:t>
      </w:r>
      <w:r w:rsidR="008A6345" w:rsidRPr="00F16A6D">
        <w:rPr>
          <w:rFonts w:ascii="Arial" w:eastAsia="Arial" w:hAnsi="Arial" w:cs="Arial"/>
          <w:sz w:val="22"/>
        </w:rPr>
        <w:t>c</w:t>
      </w:r>
      <w:r w:rsidR="0C9934DC" w:rsidRPr="00F16A6D">
        <w:rPr>
          <w:rFonts w:ascii="Arial" w:eastAsia="Arial" w:hAnsi="Arial" w:cs="Arial"/>
          <w:sz w:val="22"/>
        </w:rPr>
        <w:t xml:space="preserve">ondition, </w:t>
      </w:r>
      <w:r w:rsidR="008A6345" w:rsidRPr="00F16A6D">
        <w:rPr>
          <w:rFonts w:ascii="Arial" w:eastAsia="Arial" w:hAnsi="Arial" w:cs="Arial"/>
          <w:sz w:val="22"/>
        </w:rPr>
        <w:t>(3) m</w:t>
      </w:r>
      <w:r w:rsidR="0C9934DC" w:rsidRPr="00F16A6D">
        <w:rPr>
          <w:rFonts w:ascii="Arial" w:eastAsia="Arial" w:hAnsi="Arial" w:cs="Arial"/>
          <w:sz w:val="22"/>
        </w:rPr>
        <w:t xml:space="preserve">embers with a </w:t>
      </w:r>
      <w:r w:rsidR="008A6345" w:rsidRPr="00F16A6D">
        <w:rPr>
          <w:rFonts w:ascii="Arial" w:eastAsia="Arial" w:hAnsi="Arial" w:cs="Arial"/>
          <w:sz w:val="22"/>
        </w:rPr>
        <w:t>c</w:t>
      </w:r>
      <w:r w:rsidR="0C9934DC" w:rsidRPr="00F16A6D">
        <w:rPr>
          <w:rFonts w:ascii="Arial" w:eastAsia="Arial" w:hAnsi="Arial" w:cs="Arial"/>
          <w:sz w:val="22"/>
        </w:rPr>
        <w:t xml:space="preserve">hronic </w:t>
      </w:r>
      <w:r w:rsidR="008A6345" w:rsidRPr="00F16A6D">
        <w:rPr>
          <w:rFonts w:ascii="Arial" w:eastAsia="Arial" w:hAnsi="Arial" w:cs="Arial"/>
          <w:sz w:val="22"/>
        </w:rPr>
        <w:t>b</w:t>
      </w:r>
      <w:r w:rsidR="0C9934DC" w:rsidRPr="00F16A6D">
        <w:rPr>
          <w:rFonts w:ascii="Arial" w:eastAsia="Arial" w:hAnsi="Arial" w:cs="Arial"/>
          <w:sz w:val="22"/>
        </w:rPr>
        <w:t xml:space="preserve">ehavioral </w:t>
      </w:r>
      <w:r w:rsidR="008A6345" w:rsidRPr="00F16A6D">
        <w:rPr>
          <w:rFonts w:ascii="Arial" w:eastAsia="Arial" w:hAnsi="Arial" w:cs="Arial"/>
          <w:sz w:val="22"/>
        </w:rPr>
        <w:t>h</w:t>
      </w:r>
      <w:r w:rsidR="0C9934DC" w:rsidRPr="00F16A6D">
        <w:rPr>
          <w:rFonts w:ascii="Arial" w:eastAsia="Arial" w:hAnsi="Arial" w:cs="Arial"/>
          <w:sz w:val="22"/>
        </w:rPr>
        <w:t xml:space="preserve">ealth </w:t>
      </w:r>
      <w:r w:rsidR="008A6345" w:rsidRPr="00F16A6D">
        <w:rPr>
          <w:rFonts w:ascii="Arial" w:eastAsia="Arial" w:hAnsi="Arial" w:cs="Arial"/>
          <w:sz w:val="22"/>
        </w:rPr>
        <w:t>c</w:t>
      </w:r>
      <w:r w:rsidR="0C9934DC" w:rsidRPr="00F16A6D">
        <w:rPr>
          <w:rFonts w:ascii="Arial" w:eastAsia="Arial" w:hAnsi="Arial" w:cs="Arial"/>
          <w:sz w:val="22"/>
        </w:rPr>
        <w:t xml:space="preserve">ondition, </w:t>
      </w:r>
      <w:r w:rsidR="008A6345" w:rsidRPr="00F16A6D">
        <w:rPr>
          <w:rFonts w:ascii="Arial" w:eastAsia="Arial" w:hAnsi="Arial" w:cs="Arial"/>
          <w:sz w:val="22"/>
        </w:rPr>
        <w:t>and (4) m</w:t>
      </w:r>
      <w:r w:rsidR="0C9934DC" w:rsidRPr="00F16A6D">
        <w:rPr>
          <w:rFonts w:ascii="Arial" w:eastAsia="Arial" w:hAnsi="Arial" w:cs="Arial"/>
          <w:sz w:val="22"/>
        </w:rPr>
        <w:t xml:space="preserve">embers with </w:t>
      </w:r>
      <w:r w:rsidR="008A6345" w:rsidRPr="00F16A6D">
        <w:rPr>
          <w:rFonts w:ascii="Arial" w:eastAsia="Arial" w:hAnsi="Arial" w:cs="Arial"/>
          <w:sz w:val="22"/>
        </w:rPr>
        <w:t xml:space="preserve">both </w:t>
      </w:r>
      <w:r w:rsidR="0C9934DC" w:rsidRPr="00F16A6D">
        <w:rPr>
          <w:rFonts w:ascii="Arial" w:eastAsia="Arial" w:hAnsi="Arial" w:cs="Arial"/>
          <w:sz w:val="22"/>
        </w:rPr>
        <w:t xml:space="preserve">a </w:t>
      </w:r>
      <w:r w:rsidR="008A6345" w:rsidRPr="00F16A6D">
        <w:rPr>
          <w:rFonts w:ascii="Arial" w:eastAsia="Arial" w:hAnsi="Arial" w:cs="Arial"/>
          <w:sz w:val="22"/>
        </w:rPr>
        <w:t>c</w:t>
      </w:r>
      <w:r w:rsidR="0C9934DC" w:rsidRPr="00F16A6D">
        <w:rPr>
          <w:rFonts w:ascii="Arial" w:eastAsia="Arial" w:hAnsi="Arial" w:cs="Arial"/>
          <w:sz w:val="22"/>
        </w:rPr>
        <w:t xml:space="preserve">hronic </w:t>
      </w:r>
      <w:r w:rsidR="008A6345" w:rsidRPr="00F16A6D">
        <w:rPr>
          <w:rFonts w:ascii="Arial" w:eastAsia="Arial" w:hAnsi="Arial" w:cs="Arial"/>
          <w:sz w:val="22"/>
        </w:rPr>
        <w:t>m</w:t>
      </w:r>
      <w:r w:rsidR="0C9934DC" w:rsidRPr="00F16A6D">
        <w:rPr>
          <w:rFonts w:ascii="Arial" w:eastAsia="Arial" w:hAnsi="Arial" w:cs="Arial"/>
          <w:sz w:val="22"/>
        </w:rPr>
        <w:t xml:space="preserve">edical and </w:t>
      </w:r>
      <w:r w:rsidR="008A6345" w:rsidRPr="00F16A6D">
        <w:rPr>
          <w:rFonts w:ascii="Arial" w:eastAsia="Arial" w:hAnsi="Arial" w:cs="Arial"/>
          <w:sz w:val="22"/>
        </w:rPr>
        <w:t>b</w:t>
      </w:r>
      <w:r w:rsidR="0C9934DC" w:rsidRPr="00F16A6D">
        <w:rPr>
          <w:rFonts w:ascii="Arial" w:eastAsia="Arial" w:hAnsi="Arial" w:cs="Arial"/>
          <w:sz w:val="22"/>
        </w:rPr>
        <w:t xml:space="preserve">ehavioral </w:t>
      </w:r>
      <w:r w:rsidR="008A6345" w:rsidRPr="00F16A6D">
        <w:rPr>
          <w:rFonts w:ascii="Arial" w:eastAsia="Arial" w:hAnsi="Arial" w:cs="Arial"/>
          <w:sz w:val="22"/>
        </w:rPr>
        <w:t>h</w:t>
      </w:r>
      <w:r w:rsidR="0C9934DC" w:rsidRPr="00F16A6D">
        <w:rPr>
          <w:rFonts w:ascii="Arial" w:eastAsia="Arial" w:hAnsi="Arial" w:cs="Arial"/>
          <w:sz w:val="22"/>
        </w:rPr>
        <w:t xml:space="preserve">ealth </w:t>
      </w:r>
      <w:r w:rsidR="008A6345" w:rsidRPr="00F16A6D">
        <w:rPr>
          <w:rFonts w:ascii="Arial" w:eastAsia="Arial" w:hAnsi="Arial" w:cs="Arial"/>
          <w:sz w:val="22"/>
        </w:rPr>
        <w:t>c</w:t>
      </w:r>
      <w:r w:rsidR="0C9934DC" w:rsidRPr="00F16A6D">
        <w:rPr>
          <w:rFonts w:ascii="Arial" w:eastAsia="Arial" w:hAnsi="Arial" w:cs="Arial"/>
          <w:sz w:val="22"/>
        </w:rPr>
        <w:t xml:space="preserve">ondition. </w:t>
      </w:r>
    </w:p>
    <w:p w14:paraId="6C26F1A5" w14:textId="77777777" w:rsidR="00EB09F0" w:rsidRPr="00F16A6D" w:rsidRDefault="00EB09F0" w:rsidP="00F16A6D">
      <w:pPr>
        <w:spacing w:before="0" w:after="0" w:line="240" w:lineRule="auto"/>
        <w:rPr>
          <w:rFonts w:ascii="Arial" w:eastAsia="Arial" w:hAnsi="Arial" w:cs="Arial"/>
          <w:sz w:val="22"/>
        </w:rPr>
      </w:pPr>
    </w:p>
    <w:p w14:paraId="15A78354" w14:textId="47661476" w:rsidR="00A82958" w:rsidRDefault="6829429A" w:rsidP="6E8B322F">
      <w:pPr>
        <w:spacing w:before="0" w:after="0" w:line="240" w:lineRule="auto"/>
        <w:rPr>
          <w:rFonts w:ascii="Arial" w:eastAsia="Arial" w:hAnsi="Arial" w:cs="Arial"/>
          <w:sz w:val="22"/>
          <w:szCs w:val="22"/>
        </w:rPr>
      </w:pPr>
      <w:r w:rsidRPr="6E8B322F">
        <w:rPr>
          <w:rFonts w:ascii="Arial" w:eastAsia="Arial" w:hAnsi="Arial" w:cs="Arial"/>
          <w:sz w:val="22"/>
          <w:szCs w:val="22"/>
        </w:rPr>
        <w:t>Utilization metrics are in the following headers: Members, Primary Care, Behavioral Health, Specialist (including OBGYN), Emergency, Admissions, Pharmacy and Vaccination/Immunization.</w:t>
      </w:r>
      <w:r w:rsidR="209E3DB8" w:rsidRPr="6E8B322F">
        <w:rPr>
          <w:rFonts w:ascii="Arial" w:eastAsia="Arial" w:hAnsi="Arial" w:cs="Arial"/>
          <w:sz w:val="22"/>
          <w:szCs w:val="22"/>
        </w:rPr>
        <w:t xml:space="preserve"> </w:t>
      </w:r>
      <w:r w:rsidR="008E224E" w:rsidRPr="6E8B322F">
        <w:rPr>
          <w:rFonts w:ascii="Arial" w:eastAsia="Arial" w:hAnsi="Arial" w:cs="Arial"/>
          <w:sz w:val="22"/>
          <w:szCs w:val="22"/>
        </w:rPr>
        <w:t>Within each header (except Members</w:t>
      </w:r>
      <w:r w:rsidR="0056000A" w:rsidRPr="6E8B322F">
        <w:rPr>
          <w:rFonts w:ascii="Arial" w:eastAsia="Arial" w:hAnsi="Arial" w:cs="Arial"/>
          <w:sz w:val="22"/>
          <w:szCs w:val="22"/>
        </w:rPr>
        <w:t xml:space="preserve"> and Pharmacy</w:t>
      </w:r>
      <w:r w:rsidR="008E224E" w:rsidRPr="6E8B322F">
        <w:rPr>
          <w:rFonts w:ascii="Arial" w:eastAsia="Arial" w:hAnsi="Arial" w:cs="Arial"/>
          <w:sz w:val="22"/>
          <w:szCs w:val="22"/>
        </w:rPr>
        <w:t xml:space="preserve">) </w:t>
      </w:r>
      <w:r w:rsidR="581CAA93" w:rsidRPr="6E8B322F">
        <w:rPr>
          <w:rFonts w:ascii="Arial" w:eastAsia="Arial" w:hAnsi="Arial" w:cs="Arial"/>
          <w:sz w:val="22"/>
          <w:szCs w:val="22"/>
        </w:rPr>
        <w:t xml:space="preserve">are </w:t>
      </w:r>
      <w:r w:rsidR="008E224E" w:rsidRPr="6E8B322F">
        <w:rPr>
          <w:rFonts w:ascii="Arial" w:eastAsia="Arial" w:hAnsi="Arial" w:cs="Arial"/>
          <w:sz w:val="22"/>
          <w:szCs w:val="22"/>
        </w:rPr>
        <w:t>the following u</w:t>
      </w:r>
      <w:r w:rsidR="001044A9" w:rsidRPr="6E8B322F">
        <w:rPr>
          <w:rFonts w:ascii="Arial" w:eastAsia="Arial" w:hAnsi="Arial" w:cs="Arial"/>
          <w:sz w:val="22"/>
          <w:szCs w:val="22"/>
        </w:rPr>
        <w:t>tilization m</w:t>
      </w:r>
      <w:r w:rsidR="338739CB" w:rsidRPr="6E8B322F">
        <w:rPr>
          <w:rFonts w:ascii="Arial" w:eastAsia="Arial" w:hAnsi="Arial" w:cs="Arial"/>
          <w:sz w:val="22"/>
          <w:szCs w:val="22"/>
        </w:rPr>
        <w:t>etrics</w:t>
      </w:r>
      <w:r w:rsidR="74AE09FE" w:rsidRPr="6E8B322F">
        <w:rPr>
          <w:rFonts w:ascii="Arial" w:eastAsia="Arial" w:hAnsi="Arial" w:cs="Arial"/>
          <w:sz w:val="22"/>
          <w:szCs w:val="22"/>
        </w:rPr>
        <w:t>: visits, visits per 1000, patients</w:t>
      </w:r>
      <w:r w:rsidR="203428BB" w:rsidRPr="6E8B322F">
        <w:rPr>
          <w:rFonts w:ascii="Arial" w:eastAsia="Arial" w:hAnsi="Arial" w:cs="Arial"/>
          <w:sz w:val="22"/>
          <w:szCs w:val="22"/>
        </w:rPr>
        <w:t>,</w:t>
      </w:r>
      <w:r w:rsidR="74AE09FE" w:rsidRPr="6E8B322F">
        <w:rPr>
          <w:rFonts w:ascii="Arial" w:eastAsia="Arial" w:hAnsi="Arial" w:cs="Arial"/>
          <w:sz w:val="22"/>
          <w:szCs w:val="22"/>
        </w:rPr>
        <w:t xml:space="preserve"> and patients per 1000. The </w:t>
      </w:r>
      <w:r w:rsidR="74AE09FE" w:rsidRPr="6E8B322F">
        <w:rPr>
          <w:rFonts w:ascii="Arial" w:eastAsia="Arial" w:hAnsi="Arial" w:cs="Arial"/>
          <w:sz w:val="22"/>
          <w:szCs w:val="22"/>
        </w:rPr>
        <w:lastRenderedPageBreak/>
        <w:t xml:space="preserve">pharmacy section contains prescription counts (scripts), days-supply, </w:t>
      </w:r>
      <w:r w:rsidR="203428BB" w:rsidRPr="6E8B322F">
        <w:rPr>
          <w:rFonts w:ascii="Arial" w:eastAsia="Arial" w:hAnsi="Arial" w:cs="Arial"/>
          <w:sz w:val="22"/>
          <w:szCs w:val="22"/>
        </w:rPr>
        <w:t xml:space="preserve">and </w:t>
      </w:r>
      <w:r w:rsidR="74AE09FE" w:rsidRPr="6E8B322F">
        <w:rPr>
          <w:rFonts w:ascii="Arial" w:eastAsia="Arial" w:hAnsi="Arial" w:cs="Arial"/>
          <w:sz w:val="22"/>
          <w:szCs w:val="22"/>
        </w:rPr>
        <w:t>days-supply per</w:t>
      </w:r>
      <w:r w:rsidR="682E5254" w:rsidRPr="6E8B322F">
        <w:rPr>
          <w:rFonts w:ascii="Arial" w:eastAsia="Arial" w:hAnsi="Arial" w:cs="Arial"/>
          <w:sz w:val="22"/>
          <w:szCs w:val="22"/>
        </w:rPr>
        <w:t>-</w:t>
      </w:r>
      <w:r w:rsidR="74AE09FE" w:rsidRPr="6E8B322F">
        <w:rPr>
          <w:rFonts w:ascii="Arial" w:eastAsia="Arial" w:hAnsi="Arial" w:cs="Arial"/>
          <w:sz w:val="22"/>
          <w:szCs w:val="22"/>
        </w:rPr>
        <w:t>member</w:t>
      </w:r>
      <w:r w:rsidR="5754D30D" w:rsidRPr="6E8B322F">
        <w:rPr>
          <w:rFonts w:ascii="Arial" w:eastAsia="Arial" w:hAnsi="Arial" w:cs="Arial"/>
          <w:sz w:val="22"/>
          <w:szCs w:val="22"/>
        </w:rPr>
        <w:t>-</w:t>
      </w:r>
      <w:r w:rsidR="74AE09FE" w:rsidRPr="6E8B322F">
        <w:rPr>
          <w:rFonts w:ascii="Arial" w:eastAsia="Arial" w:hAnsi="Arial" w:cs="Arial"/>
          <w:sz w:val="22"/>
          <w:szCs w:val="22"/>
        </w:rPr>
        <w:t>per</w:t>
      </w:r>
      <w:r w:rsidR="76E1A5AC" w:rsidRPr="6E8B322F">
        <w:rPr>
          <w:rFonts w:ascii="Arial" w:eastAsia="Arial" w:hAnsi="Arial" w:cs="Arial"/>
          <w:sz w:val="22"/>
          <w:szCs w:val="22"/>
        </w:rPr>
        <w:t>-</w:t>
      </w:r>
      <w:r w:rsidR="74AE09FE" w:rsidRPr="6E8B322F">
        <w:rPr>
          <w:rFonts w:ascii="Arial" w:eastAsia="Arial" w:hAnsi="Arial" w:cs="Arial"/>
          <w:sz w:val="22"/>
          <w:szCs w:val="22"/>
        </w:rPr>
        <w:t xml:space="preserve">month (PMPM). </w:t>
      </w:r>
      <w:r w:rsidR="00BE4372" w:rsidRPr="6E8B322F">
        <w:rPr>
          <w:rFonts w:ascii="Arial" w:eastAsia="Arial" w:hAnsi="Arial" w:cs="Arial"/>
          <w:sz w:val="22"/>
          <w:szCs w:val="22"/>
        </w:rPr>
        <w:t>C</w:t>
      </w:r>
      <w:r w:rsidR="26AB0FAD" w:rsidRPr="6E8B322F">
        <w:rPr>
          <w:rFonts w:ascii="Arial" w:eastAsia="Arial" w:hAnsi="Arial" w:cs="Arial"/>
          <w:sz w:val="22"/>
          <w:szCs w:val="22"/>
        </w:rPr>
        <w:t xml:space="preserve">alculated measures </w:t>
      </w:r>
      <w:proofErr w:type="gramStart"/>
      <w:r w:rsidR="001503BB" w:rsidRPr="6E8B322F">
        <w:rPr>
          <w:rFonts w:ascii="Arial" w:eastAsia="Arial" w:hAnsi="Arial" w:cs="Arial"/>
          <w:sz w:val="22"/>
          <w:szCs w:val="22"/>
        </w:rPr>
        <w:t>control for</w:t>
      </w:r>
      <w:proofErr w:type="gramEnd"/>
      <w:r w:rsidR="001503BB" w:rsidRPr="6E8B322F">
        <w:rPr>
          <w:rFonts w:ascii="Arial" w:eastAsia="Arial" w:hAnsi="Arial" w:cs="Arial"/>
          <w:sz w:val="22"/>
          <w:szCs w:val="22"/>
        </w:rPr>
        <w:t xml:space="preserve"> population size when</w:t>
      </w:r>
      <w:r w:rsidR="26AB0FAD" w:rsidRPr="6E8B322F">
        <w:rPr>
          <w:rFonts w:ascii="Arial" w:eastAsia="Arial" w:hAnsi="Arial" w:cs="Arial"/>
          <w:sz w:val="22"/>
          <w:szCs w:val="22"/>
        </w:rPr>
        <w:t xml:space="preserve"> comparing</w:t>
      </w:r>
      <w:r w:rsidR="00E115F9" w:rsidRPr="6E8B322F">
        <w:rPr>
          <w:rFonts w:ascii="Arial" w:eastAsia="Arial" w:hAnsi="Arial" w:cs="Arial"/>
          <w:sz w:val="22"/>
          <w:szCs w:val="22"/>
        </w:rPr>
        <w:t xml:space="preserve"> across</w:t>
      </w:r>
      <w:r w:rsidR="26AB0FAD" w:rsidRPr="6E8B322F">
        <w:rPr>
          <w:rFonts w:ascii="Arial" w:eastAsia="Arial" w:hAnsi="Arial" w:cs="Arial"/>
          <w:sz w:val="22"/>
          <w:szCs w:val="22"/>
        </w:rPr>
        <w:t xml:space="preserve"> disparate populations</w:t>
      </w:r>
      <w:r w:rsidR="27617D1A" w:rsidRPr="6E8B322F">
        <w:rPr>
          <w:rFonts w:ascii="Arial" w:eastAsia="Arial" w:hAnsi="Arial" w:cs="Arial"/>
          <w:sz w:val="22"/>
          <w:szCs w:val="22"/>
        </w:rPr>
        <w:t>.</w:t>
      </w:r>
    </w:p>
    <w:p w14:paraId="5C3C63DD" w14:textId="77777777" w:rsidR="00F16A6D" w:rsidRPr="00F16A6D" w:rsidRDefault="00F16A6D" w:rsidP="00F16A6D">
      <w:pPr>
        <w:spacing w:before="0" w:after="0" w:line="240" w:lineRule="auto"/>
        <w:rPr>
          <w:rFonts w:ascii="Arial" w:eastAsia="Arial" w:hAnsi="Arial" w:cs="Arial"/>
          <w:sz w:val="22"/>
        </w:rPr>
      </w:pPr>
    </w:p>
    <w:p w14:paraId="12904708" w14:textId="6A86A991" w:rsidR="001C67E7" w:rsidRDefault="358B8BF2" w:rsidP="00EB09F0">
      <w:pPr>
        <w:spacing w:before="0" w:after="0" w:line="240" w:lineRule="auto"/>
        <w:rPr>
          <w:rFonts w:ascii="Arial" w:eastAsia="Arial" w:hAnsi="Arial" w:cs="Arial"/>
          <w:sz w:val="22"/>
        </w:rPr>
      </w:pPr>
      <w:r w:rsidRPr="00F16A6D">
        <w:rPr>
          <w:rFonts w:ascii="Arial" w:eastAsia="Arial" w:hAnsi="Arial" w:cs="Arial"/>
          <w:sz w:val="22"/>
        </w:rPr>
        <w:t>Utilization is reported by the following</w:t>
      </w:r>
      <w:r w:rsidR="476CF904" w:rsidRPr="00F16A6D">
        <w:rPr>
          <w:rFonts w:ascii="Arial" w:eastAsia="Arial" w:hAnsi="Arial" w:cs="Arial"/>
          <w:sz w:val="22"/>
        </w:rPr>
        <w:t xml:space="preserve"> enrollee characteristics or</w:t>
      </w:r>
      <w:r w:rsidRPr="00F16A6D">
        <w:rPr>
          <w:rFonts w:ascii="Arial" w:eastAsia="Arial" w:hAnsi="Arial" w:cs="Arial"/>
          <w:sz w:val="22"/>
        </w:rPr>
        <w:t xml:space="preserve"> demographic groups: Network Type, Metal Tier, Subsidy </w:t>
      </w:r>
      <w:r w:rsidR="00390E72" w:rsidRPr="00F16A6D">
        <w:rPr>
          <w:rFonts w:ascii="Arial" w:eastAsia="Arial" w:hAnsi="Arial" w:cs="Arial"/>
          <w:sz w:val="22"/>
        </w:rPr>
        <w:t>Eligibility</w:t>
      </w:r>
      <w:r w:rsidR="66F5BA9F" w:rsidRPr="00F16A6D">
        <w:rPr>
          <w:rFonts w:ascii="Arial" w:eastAsia="Arial" w:hAnsi="Arial" w:cs="Arial"/>
          <w:sz w:val="22"/>
        </w:rPr>
        <w:t xml:space="preserve"> (</w:t>
      </w:r>
      <w:r w:rsidR="007C1204" w:rsidRPr="00F16A6D">
        <w:rPr>
          <w:rFonts w:ascii="Arial" w:eastAsia="Arial" w:hAnsi="Arial" w:cs="Arial"/>
          <w:sz w:val="22"/>
        </w:rPr>
        <w:t>eligibility for premium tax credits</w:t>
      </w:r>
      <w:r w:rsidR="2921988E" w:rsidRPr="00F16A6D">
        <w:rPr>
          <w:rFonts w:ascii="Arial" w:eastAsia="Arial" w:hAnsi="Arial" w:cs="Arial"/>
          <w:sz w:val="22"/>
        </w:rPr>
        <w:t>)</w:t>
      </w:r>
      <w:r w:rsidRPr="00F16A6D">
        <w:rPr>
          <w:rFonts w:ascii="Arial" w:eastAsia="Arial" w:hAnsi="Arial" w:cs="Arial"/>
          <w:sz w:val="22"/>
        </w:rPr>
        <w:t xml:space="preserve">, </w:t>
      </w:r>
      <w:r w:rsidR="00166434" w:rsidRPr="00F16A6D">
        <w:rPr>
          <w:rFonts w:ascii="Arial" w:eastAsia="Arial" w:hAnsi="Arial" w:cs="Arial"/>
          <w:sz w:val="22"/>
        </w:rPr>
        <w:t>Household income as measured by percent of the Federal Poverty Level (</w:t>
      </w:r>
      <w:r w:rsidRPr="00F16A6D">
        <w:rPr>
          <w:rFonts w:ascii="Arial" w:eastAsia="Arial" w:hAnsi="Arial" w:cs="Arial"/>
          <w:sz w:val="22"/>
        </w:rPr>
        <w:t>FPL</w:t>
      </w:r>
      <w:r w:rsidR="00166434" w:rsidRPr="00F16A6D">
        <w:rPr>
          <w:rFonts w:ascii="Arial" w:eastAsia="Arial" w:hAnsi="Arial" w:cs="Arial"/>
          <w:sz w:val="22"/>
        </w:rPr>
        <w:t>)</w:t>
      </w:r>
      <w:r w:rsidRPr="00F16A6D">
        <w:rPr>
          <w:rFonts w:ascii="Arial" w:eastAsia="Arial" w:hAnsi="Arial" w:cs="Arial"/>
          <w:sz w:val="22"/>
        </w:rPr>
        <w:t>, Gender, Age, Race/Ethnicity Group</w:t>
      </w:r>
      <w:r w:rsidR="63B9DEE0" w:rsidRPr="00F16A6D">
        <w:rPr>
          <w:rFonts w:ascii="Arial" w:eastAsia="Arial" w:hAnsi="Arial" w:cs="Arial"/>
          <w:sz w:val="22"/>
        </w:rPr>
        <w:t xml:space="preserve"> (a rollup of Race and Ethnicity)</w:t>
      </w:r>
      <w:r w:rsidRPr="00F16A6D">
        <w:rPr>
          <w:rFonts w:ascii="Arial" w:eastAsia="Arial" w:hAnsi="Arial" w:cs="Arial"/>
          <w:sz w:val="22"/>
        </w:rPr>
        <w:t>, Race, Ethnicity, Language Written, Language Spoken</w:t>
      </w:r>
      <w:r w:rsidR="3BE41B46" w:rsidRPr="00F16A6D">
        <w:rPr>
          <w:rFonts w:ascii="Arial" w:eastAsia="Arial" w:hAnsi="Arial" w:cs="Arial"/>
          <w:sz w:val="22"/>
        </w:rPr>
        <w:t xml:space="preserve"> and Urban/Rural</w:t>
      </w:r>
      <w:r w:rsidR="00166434" w:rsidRPr="00F16A6D">
        <w:rPr>
          <w:rFonts w:ascii="Arial" w:eastAsia="Arial" w:hAnsi="Arial" w:cs="Arial"/>
          <w:sz w:val="22"/>
        </w:rPr>
        <w:t xml:space="preserve"> </w:t>
      </w:r>
      <w:r w:rsidR="005E23C2" w:rsidRPr="00F16A6D">
        <w:rPr>
          <w:rFonts w:ascii="Arial" w:eastAsia="Arial" w:hAnsi="Arial" w:cs="Arial"/>
          <w:sz w:val="22"/>
        </w:rPr>
        <w:t>location</w:t>
      </w:r>
      <w:r w:rsidRPr="00F16A6D">
        <w:rPr>
          <w:rFonts w:ascii="Arial" w:eastAsia="Arial" w:hAnsi="Arial" w:cs="Arial"/>
          <w:sz w:val="22"/>
        </w:rPr>
        <w:t>. </w:t>
      </w:r>
    </w:p>
    <w:p w14:paraId="2E0F2E07" w14:textId="77777777" w:rsidR="00F16A6D" w:rsidRPr="00F16A6D" w:rsidRDefault="00F16A6D" w:rsidP="00EB09F0">
      <w:pPr>
        <w:spacing w:before="0" w:after="0" w:line="240" w:lineRule="auto"/>
        <w:rPr>
          <w:rFonts w:ascii="Arial" w:eastAsia="Arial" w:hAnsi="Arial" w:cs="Arial"/>
          <w:sz w:val="22"/>
        </w:rPr>
      </w:pPr>
    </w:p>
    <w:p w14:paraId="5E411E9A" w14:textId="23254DEB" w:rsidR="00E8196B" w:rsidRDefault="2E9D9982" w:rsidP="00EB09F0">
      <w:pPr>
        <w:spacing w:before="0" w:after="0" w:line="240" w:lineRule="auto"/>
        <w:rPr>
          <w:rFonts w:ascii="Arial" w:eastAsia="Arial" w:hAnsi="Arial" w:cs="Arial"/>
          <w:sz w:val="22"/>
        </w:rPr>
      </w:pPr>
      <w:r w:rsidRPr="00F16A6D">
        <w:rPr>
          <w:rFonts w:ascii="Arial" w:eastAsia="Arial" w:hAnsi="Arial" w:cs="Arial"/>
          <w:sz w:val="22"/>
        </w:rPr>
        <w:t>All member counts, patient counts, and utilization counts (visits, admits, scripts, days and claims) have been rounded to the nearest 10,</w:t>
      </w:r>
      <w:r w:rsidR="002B5FB9" w:rsidRPr="00F16A6D">
        <w:rPr>
          <w:rFonts w:ascii="Arial" w:eastAsia="Arial" w:hAnsi="Arial" w:cs="Arial"/>
          <w:sz w:val="22"/>
        </w:rPr>
        <w:t xml:space="preserve"> and all dependent c</w:t>
      </w:r>
      <w:r w:rsidR="65F8BFE4" w:rsidRPr="00F16A6D">
        <w:rPr>
          <w:rFonts w:ascii="Arial" w:eastAsia="Arial" w:hAnsi="Arial" w:cs="Arial"/>
          <w:sz w:val="22"/>
        </w:rPr>
        <w:t>ells are calculated using these rounded numbers.</w:t>
      </w:r>
    </w:p>
    <w:p w14:paraId="2D6CECF6" w14:textId="77777777" w:rsidR="00F16A6D" w:rsidRPr="00F16A6D" w:rsidRDefault="00F16A6D" w:rsidP="00EB09F0">
      <w:pPr>
        <w:spacing w:before="0" w:after="0" w:line="240" w:lineRule="auto"/>
        <w:rPr>
          <w:rFonts w:ascii="Arial" w:eastAsia="Arial" w:hAnsi="Arial" w:cs="Arial"/>
          <w:sz w:val="22"/>
        </w:rPr>
      </w:pPr>
    </w:p>
    <w:p w14:paraId="6440C26E" w14:textId="014FFD09" w:rsidR="00ED31C3" w:rsidRPr="00F16A6D" w:rsidRDefault="008D6D92" w:rsidP="00EB09F0">
      <w:pPr>
        <w:spacing w:before="0" w:after="0" w:line="240" w:lineRule="auto"/>
        <w:rPr>
          <w:rFonts w:ascii="Arial" w:eastAsia="Arial" w:hAnsi="Arial" w:cs="Arial"/>
          <w:sz w:val="22"/>
        </w:rPr>
      </w:pPr>
      <w:r w:rsidRPr="00F16A6D">
        <w:rPr>
          <w:rFonts w:ascii="Arial" w:eastAsia="Arial" w:hAnsi="Arial" w:cs="Arial"/>
          <w:sz w:val="22"/>
        </w:rPr>
        <w:t>Additionally, if the unique member count</w:t>
      </w:r>
      <w:r w:rsidR="0057043E" w:rsidRPr="00F16A6D">
        <w:rPr>
          <w:rFonts w:ascii="Arial" w:eastAsia="Arial" w:hAnsi="Arial" w:cs="Arial"/>
          <w:sz w:val="22"/>
        </w:rPr>
        <w:t xml:space="preserve"> for any row</w:t>
      </w:r>
      <w:r w:rsidRPr="00F16A6D">
        <w:rPr>
          <w:rFonts w:ascii="Arial" w:eastAsia="Arial" w:hAnsi="Arial" w:cs="Arial"/>
          <w:sz w:val="22"/>
        </w:rPr>
        <w:t xml:space="preserve"> is less than 10, the entire row </w:t>
      </w:r>
      <w:r w:rsidR="000678BB" w:rsidRPr="00F16A6D">
        <w:rPr>
          <w:rFonts w:ascii="Arial" w:eastAsia="Arial" w:hAnsi="Arial" w:cs="Arial"/>
          <w:sz w:val="22"/>
        </w:rPr>
        <w:t>is</w:t>
      </w:r>
      <w:r w:rsidRPr="00F16A6D">
        <w:rPr>
          <w:rFonts w:ascii="Arial" w:eastAsia="Arial" w:hAnsi="Arial" w:cs="Arial"/>
          <w:sz w:val="22"/>
        </w:rPr>
        <w:t xml:space="preserve"> left blank.</w:t>
      </w:r>
    </w:p>
    <w:p w14:paraId="1114EE85" w14:textId="5EE70A1B" w:rsidR="7E4EEB06" w:rsidRPr="00860003" w:rsidRDefault="7E4EEB06" w:rsidP="4FDD740C">
      <w:pPr>
        <w:pStyle w:val="NoSpacing"/>
      </w:pPr>
    </w:p>
    <w:p w14:paraId="1F4052E7" w14:textId="62E8D06D" w:rsidR="009B5358" w:rsidRPr="007728FF" w:rsidRDefault="009B5358" w:rsidP="00DC6A01">
      <w:pPr>
        <w:pStyle w:val="Heading2"/>
        <w:rPr>
          <w:rFonts w:ascii="Arial" w:hAnsi="Arial" w:cs="Arial"/>
          <w:sz w:val="24"/>
          <w:szCs w:val="24"/>
        </w:rPr>
      </w:pPr>
      <w:r w:rsidRPr="007728FF">
        <w:rPr>
          <w:rFonts w:ascii="Arial" w:hAnsi="Arial" w:cs="Arial"/>
          <w:sz w:val="24"/>
          <w:szCs w:val="24"/>
        </w:rPr>
        <w:t>Health Populations</w:t>
      </w:r>
    </w:p>
    <w:p w14:paraId="18C89E73" w14:textId="5FA9DB44" w:rsidR="4FDD740C" w:rsidRDefault="4FDD740C" w:rsidP="4FDD740C">
      <w:pPr>
        <w:pStyle w:val="NoSpacing"/>
      </w:pPr>
    </w:p>
    <w:p w14:paraId="103B5E3C" w14:textId="1007F277" w:rsidR="009B5358" w:rsidRPr="00F16A6D" w:rsidRDefault="131D8A34" w:rsidP="171A1BCC">
      <w:pPr>
        <w:spacing w:before="0" w:after="0" w:line="240" w:lineRule="auto"/>
        <w:rPr>
          <w:rFonts w:ascii="Arial" w:eastAsia="Arial" w:hAnsi="Arial" w:cs="Arial"/>
          <w:sz w:val="22"/>
          <w:szCs w:val="22"/>
        </w:rPr>
      </w:pPr>
      <w:r w:rsidRPr="171A1BCC">
        <w:rPr>
          <w:rFonts w:ascii="Arial" w:eastAsia="Arial" w:hAnsi="Arial" w:cs="Arial"/>
          <w:sz w:val="22"/>
          <w:szCs w:val="22"/>
        </w:rPr>
        <w:t xml:space="preserve">There are four population groups available for analysis within the Utilization Reports. They are </w:t>
      </w:r>
      <w:r w:rsidR="699E11E6" w:rsidRPr="171A1BCC">
        <w:rPr>
          <w:rFonts w:ascii="Arial" w:eastAsia="Arial" w:hAnsi="Arial" w:cs="Arial"/>
          <w:sz w:val="22"/>
          <w:szCs w:val="22"/>
        </w:rPr>
        <w:t>(1) the overall on-exchange individual</w:t>
      </w:r>
      <w:r w:rsidR="61D29A2D" w:rsidRPr="171A1BCC">
        <w:rPr>
          <w:rFonts w:ascii="Arial" w:eastAsia="Arial" w:hAnsi="Arial" w:cs="Arial"/>
          <w:sz w:val="22"/>
          <w:szCs w:val="22"/>
        </w:rPr>
        <w:t xml:space="preserve"> </w:t>
      </w:r>
      <w:r w:rsidR="699E11E6" w:rsidRPr="171A1BCC">
        <w:rPr>
          <w:rFonts w:ascii="Arial" w:eastAsia="Arial" w:hAnsi="Arial" w:cs="Arial"/>
          <w:sz w:val="22"/>
          <w:szCs w:val="22"/>
        </w:rPr>
        <w:t>market enrollee population, (2) members with a chronic medical condition</w:t>
      </w:r>
      <w:r w:rsidR="7BC06794" w:rsidRPr="171A1BCC">
        <w:rPr>
          <w:rFonts w:ascii="Arial" w:eastAsia="Arial" w:hAnsi="Arial" w:cs="Arial"/>
          <w:sz w:val="22"/>
          <w:szCs w:val="22"/>
        </w:rPr>
        <w:t xml:space="preserve"> only</w:t>
      </w:r>
      <w:r w:rsidR="699E11E6" w:rsidRPr="171A1BCC">
        <w:rPr>
          <w:rFonts w:ascii="Arial" w:eastAsia="Arial" w:hAnsi="Arial" w:cs="Arial"/>
          <w:sz w:val="22"/>
          <w:szCs w:val="22"/>
        </w:rPr>
        <w:t>, (3) members with a chronic behavioral health condition</w:t>
      </w:r>
      <w:r w:rsidR="1F537991" w:rsidRPr="171A1BCC">
        <w:rPr>
          <w:rFonts w:ascii="Arial" w:eastAsia="Arial" w:hAnsi="Arial" w:cs="Arial"/>
          <w:sz w:val="22"/>
          <w:szCs w:val="22"/>
        </w:rPr>
        <w:t xml:space="preserve"> only</w:t>
      </w:r>
      <w:r w:rsidR="699E11E6" w:rsidRPr="171A1BCC">
        <w:rPr>
          <w:rFonts w:ascii="Arial" w:eastAsia="Arial" w:hAnsi="Arial" w:cs="Arial"/>
          <w:sz w:val="22"/>
          <w:szCs w:val="22"/>
        </w:rPr>
        <w:t xml:space="preserve">, and (4) members with both a chronic medical and behavioral health condition. </w:t>
      </w:r>
      <w:r w:rsidR="7EF501D7" w:rsidRPr="171A1BCC">
        <w:rPr>
          <w:rFonts w:ascii="Arial" w:eastAsia="Arial" w:hAnsi="Arial" w:cs="Arial"/>
          <w:sz w:val="22"/>
          <w:szCs w:val="22"/>
        </w:rPr>
        <w:t xml:space="preserve">Groups 2, 3 and 4 </w:t>
      </w:r>
      <w:r w:rsidR="15AAAAD0" w:rsidRPr="171A1BCC">
        <w:rPr>
          <w:rFonts w:ascii="Arial" w:eastAsia="Arial" w:hAnsi="Arial" w:cs="Arial"/>
          <w:sz w:val="22"/>
          <w:szCs w:val="22"/>
        </w:rPr>
        <w:t>are mutually exclusive</w:t>
      </w:r>
      <w:r w:rsidR="6E85C34B" w:rsidRPr="171A1BCC">
        <w:rPr>
          <w:rFonts w:ascii="Arial" w:eastAsia="Arial" w:hAnsi="Arial" w:cs="Arial"/>
          <w:sz w:val="22"/>
          <w:szCs w:val="22"/>
        </w:rPr>
        <w:t xml:space="preserve"> and were </w:t>
      </w:r>
      <w:r w:rsidR="07BE1D2A" w:rsidRPr="171A1BCC">
        <w:rPr>
          <w:rFonts w:ascii="Arial" w:eastAsia="Arial" w:hAnsi="Arial" w:cs="Arial"/>
          <w:sz w:val="22"/>
          <w:szCs w:val="22"/>
        </w:rPr>
        <w:t>created</w:t>
      </w:r>
      <w:r w:rsidR="6E85C34B" w:rsidRPr="171A1BCC">
        <w:rPr>
          <w:rFonts w:ascii="Arial" w:eastAsia="Arial" w:hAnsi="Arial" w:cs="Arial"/>
          <w:sz w:val="22"/>
          <w:szCs w:val="22"/>
        </w:rPr>
        <w:t xml:space="preserve"> using the MEG episode grouper </w:t>
      </w:r>
      <w:r w:rsidR="00B61B20" w:rsidRPr="171A1BCC">
        <w:rPr>
          <w:rFonts w:ascii="Arial" w:eastAsia="Arial" w:hAnsi="Arial" w:cs="Arial"/>
          <w:sz w:val="22"/>
          <w:szCs w:val="22"/>
        </w:rPr>
        <w:t>(see Episodes of Care)</w:t>
      </w:r>
      <w:r w:rsidR="6E85C34B" w:rsidRPr="171A1BCC">
        <w:rPr>
          <w:rFonts w:ascii="Arial" w:eastAsia="Arial" w:hAnsi="Arial" w:cs="Arial"/>
          <w:sz w:val="22"/>
          <w:szCs w:val="22"/>
        </w:rPr>
        <w:t>.</w:t>
      </w:r>
    </w:p>
    <w:p w14:paraId="57598F7D" w14:textId="77777777" w:rsidR="00EB09F0" w:rsidRPr="00860003" w:rsidRDefault="00EB09F0" w:rsidP="0099593A">
      <w:pPr>
        <w:spacing w:before="0" w:after="0" w:line="240" w:lineRule="auto"/>
        <w:rPr>
          <w:rFonts w:ascii="Arial" w:eastAsia="Arial" w:hAnsi="Arial" w:cs="Arial"/>
        </w:rPr>
      </w:pPr>
    </w:p>
    <w:p w14:paraId="5B93E76C" w14:textId="6D585981" w:rsidR="64DA3791" w:rsidRDefault="64DA3791" w:rsidP="6E8B322F">
      <w:pPr>
        <w:pStyle w:val="ListParagraph"/>
        <w:numPr>
          <w:ilvl w:val="0"/>
          <w:numId w:val="9"/>
        </w:numPr>
        <w:spacing w:before="0" w:after="0" w:line="240" w:lineRule="auto"/>
        <w:rPr>
          <w:rFonts w:ascii="Arial" w:eastAsia="Arial" w:hAnsi="Arial" w:cs="Arial"/>
          <w:sz w:val="22"/>
          <w:szCs w:val="22"/>
        </w:rPr>
      </w:pPr>
      <w:r w:rsidRPr="6E8B322F">
        <w:rPr>
          <w:rFonts w:ascii="Arial" w:eastAsia="Arial" w:hAnsi="Arial" w:cs="Arial"/>
          <w:sz w:val="22"/>
          <w:szCs w:val="22"/>
        </w:rPr>
        <w:t>The overall on-exchange individual market enrollee population excludes off-exchange and small business enrollees</w:t>
      </w:r>
      <w:r w:rsidR="7C31CEBC" w:rsidRPr="6E8B322F">
        <w:rPr>
          <w:rFonts w:ascii="Arial" w:eastAsia="Arial" w:hAnsi="Arial" w:cs="Arial"/>
          <w:sz w:val="22"/>
          <w:szCs w:val="22"/>
        </w:rPr>
        <w:t xml:space="preserve"> and encompasses the three chronic condition subgroups plus any members without any chronic condition</w:t>
      </w:r>
      <w:r w:rsidR="67C8D0F7" w:rsidRPr="6E8B322F">
        <w:rPr>
          <w:rFonts w:ascii="Arial" w:eastAsia="Arial" w:hAnsi="Arial" w:cs="Arial"/>
          <w:sz w:val="22"/>
          <w:szCs w:val="22"/>
        </w:rPr>
        <w:t>.</w:t>
      </w:r>
    </w:p>
    <w:p w14:paraId="7D0FC1AD" w14:textId="77777777" w:rsidR="00F77BE0" w:rsidRPr="00F16A6D" w:rsidRDefault="00F77BE0" w:rsidP="00F77BE0">
      <w:pPr>
        <w:pStyle w:val="ListParagraph"/>
        <w:spacing w:before="0" w:after="0" w:line="240" w:lineRule="auto"/>
        <w:rPr>
          <w:rFonts w:ascii="Arial" w:eastAsia="Arial" w:hAnsi="Arial" w:cs="Arial"/>
          <w:sz w:val="22"/>
        </w:rPr>
      </w:pPr>
    </w:p>
    <w:p w14:paraId="650D608A" w14:textId="304F10CA" w:rsidR="00C206FC" w:rsidRDefault="02822CAD" w:rsidP="0099593A">
      <w:pPr>
        <w:pStyle w:val="ListParagraph"/>
        <w:numPr>
          <w:ilvl w:val="0"/>
          <w:numId w:val="9"/>
        </w:numPr>
        <w:spacing w:before="0" w:after="0" w:line="240" w:lineRule="auto"/>
        <w:rPr>
          <w:rFonts w:ascii="Arial" w:eastAsia="Arial" w:hAnsi="Arial" w:cs="Arial"/>
          <w:sz w:val="22"/>
        </w:rPr>
      </w:pPr>
      <w:r w:rsidRPr="00F16A6D">
        <w:rPr>
          <w:rFonts w:ascii="Arial" w:eastAsia="Arial" w:hAnsi="Arial" w:cs="Arial"/>
          <w:sz w:val="22"/>
        </w:rPr>
        <w:t xml:space="preserve">The </w:t>
      </w:r>
      <w:r w:rsidR="74710792" w:rsidRPr="00F16A6D">
        <w:rPr>
          <w:rFonts w:ascii="Arial" w:eastAsia="Arial" w:hAnsi="Arial" w:cs="Arial"/>
          <w:sz w:val="22"/>
        </w:rPr>
        <w:t>c</w:t>
      </w:r>
      <w:r w:rsidR="536788AD" w:rsidRPr="00F16A6D">
        <w:rPr>
          <w:rFonts w:ascii="Arial" w:eastAsia="Arial" w:hAnsi="Arial" w:cs="Arial"/>
          <w:sz w:val="22"/>
        </w:rPr>
        <w:t xml:space="preserve">hronic </w:t>
      </w:r>
      <w:r w:rsidR="52A27F0C" w:rsidRPr="00F16A6D">
        <w:rPr>
          <w:rFonts w:ascii="Arial" w:eastAsia="Arial" w:hAnsi="Arial" w:cs="Arial"/>
          <w:sz w:val="22"/>
        </w:rPr>
        <w:t xml:space="preserve">medical </w:t>
      </w:r>
      <w:r w:rsidR="29D22059" w:rsidRPr="00F16A6D">
        <w:rPr>
          <w:rFonts w:ascii="Arial" w:eastAsia="Arial" w:hAnsi="Arial" w:cs="Arial"/>
          <w:sz w:val="22"/>
        </w:rPr>
        <w:t>c</w:t>
      </w:r>
      <w:r w:rsidR="536788AD" w:rsidRPr="00F16A6D">
        <w:rPr>
          <w:rFonts w:ascii="Arial" w:eastAsia="Arial" w:hAnsi="Arial" w:cs="Arial"/>
          <w:sz w:val="22"/>
        </w:rPr>
        <w:t xml:space="preserve">ondition </w:t>
      </w:r>
      <w:r w:rsidR="4E8BEF7A" w:rsidRPr="00F16A6D">
        <w:rPr>
          <w:rFonts w:ascii="Arial" w:eastAsia="Arial" w:hAnsi="Arial" w:cs="Arial"/>
          <w:sz w:val="22"/>
        </w:rPr>
        <w:t>population</w:t>
      </w:r>
      <w:r w:rsidR="536788AD" w:rsidRPr="00F16A6D">
        <w:rPr>
          <w:rFonts w:ascii="Arial" w:eastAsia="Arial" w:hAnsi="Arial" w:cs="Arial"/>
          <w:sz w:val="22"/>
        </w:rPr>
        <w:t xml:space="preserve"> </w:t>
      </w:r>
      <w:r w:rsidR="00AC0C05" w:rsidRPr="00F16A6D">
        <w:rPr>
          <w:rFonts w:ascii="Arial" w:eastAsia="Arial" w:hAnsi="Arial" w:cs="Arial"/>
          <w:sz w:val="22"/>
        </w:rPr>
        <w:t>includes</w:t>
      </w:r>
      <w:r w:rsidR="536788AD" w:rsidRPr="00F16A6D">
        <w:rPr>
          <w:rFonts w:ascii="Arial" w:eastAsia="Arial" w:hAnsi="Arial" w:cs="Arial"/>
          <w:sz w:val="22"/>
        </w:rPr>
        <w:t xml:space="preserve"> </w:t>
      </w:r>
      <w:r w:rsidR="5581F1B0" w:rsidRPr="00F16A6D">
        <w:rPr>
          <w:rFonts w:ascii="Arial" w:eastAsia="Arial" w:hAnsi="Arial" w:cs="Arial"/>
          <w:sz w:val="22"/>
        </w:rPr>
        <w:t xml:space="preserve">patients with one or more </w:t>
      </w:r>
      <w:r w:rsidR="005E3772" w:rsidRPr="00F16A6D">
        <w:rPr>
          <w:rFonts w:ascii="Arial" w:eastAsia="Arial" w:hAnsi="Arial" w:cs="Arial"/>
          <w:sz w:val="22"/>
        </w:rPr>
        <w:t>episodes</w:t>
      </w:r>
      <w:r w:rsidR="00701EC8" w:rsidRPr="00F16A6D">
        <w:rPr>
          <w:rFonts w:ascii="Arial" w:eastAsia="Arial" w:hAnsi="Arial" w:cs="Arial"/>
          <w:sz w:val="22"/>
        </w:rPr>
        <w:t xml:space="preserve"> that have been classified as chronic by the grouper</w:t>
      </w:r>
      <w:r w:rsidR="00FB1616" w:rsidRPr="00F16A6D">
        <w:rPr>
          <w:rFonts w:ascii="Arial" w:eastAsia="Arial" w:hAnsi="Arial" w:cs="Arial"/>
          <w:sz w:val="22"/>
        </w:rPr>
        <w:t xml:space="preserve"> (excluding psychiatric).</w:t>
      </w:r>
    </w:p>
    <w:p w14:paraId="64CDC527" w14:textId="77777777" w:rsidR="00F77BE0" w:rsidRPr="00F16A6D" w:rsidRDefault="00F77BE0" w:rsidP="00F77BE0">
      <w:pPr>
        <w:pStyle w:val="ListParagraph"/>
        <w:spacing w:before="0" w:after="0" w:line="240" w:lineRule="auto"/>
        <w:rPr>
          <w:rFonts w:ascii="Arial" w:eastAsia="Arial" w:hAnsi="Arial" w:cs="Arial"/>
          <w:sz w:val="22"/>
        </w:rPr>
      </w:pPr>
    </w:p>
    <w:p w14:paraId="68644A4E" w14:textId="49D47715" w:rsidR="000F5B93" w:rsidRDefault="11C233E1" w:rsidP="0099593A">
      <w:pPr>
        <w:pStyle w:val="ListParagraph"/>
        <w:numPr>
          <w:ilvl w:val="0"/>
          <w:numId w:val="9"/>
        </w:numPr>
        <w:spacing w:before="0" w:after="0" w:line="240" w:lineRule="auto"/>
        <w:rPr>
          <w:rFonts w:ascii="Arial" w:eastAsia="Arial" w:hAnsi="Arial" w:cs="Arial"/>
          <w:sz w:val="22"/>
        </w:rPr>
      </w:pPr>
      <w:r w:rsidRPr="00F16A6D">
        <w:rPr>
          <w:rFonts w:ascii="Arial" w:eastAsia="Arial" w:hAnsi="Arial" w:cs="Arial"/>
          <w:sz w:val="22"/>
        </w:rPr>
        <w:t xml:space="preserve">The </w:t>
      </w:r>
      <w:r w:rsidR="008E4808" w:rsidRPr="00F16A6D">
        <w:rPr>
          <w:rFonts w:ascii="Arial" w:eastAsia="Arial" w:hAnsi="Arial" w:cs="Arial"/>
          <w:sz w:val="22"/>
        </w:rPr>
        <w:t>chronic b</w:t>
      </w:r>
      <w:r w:rsidR="279EE0ED" w:rsidRPr="00F16A6D">
        <w:rPr>
          <w:rFonts w:ascii="Arial" w:eastAsia="Arial" w:hAnsi="Arial" w:cs="Arial"/>
          <w:sz w:val="22"/>
        </w:rPr>
        <w:t>ehavior</w:t>
      </w:r>
      <w:r w:rsidR="312580EA" w:rsidRPr="00F16A6D">
        <w:rPr>
          <w:rFonts w:ascii="Arial" w:eastAsia="Arial" w:hAnsi="Arial" w:cs="Arial"/>
          <w:sz w:val="22"/>
        </w:rPr>
        <w:t xml:space="preserve">al </w:t>
      </w:r>
      <w:r w:rsidR="008E4808" w:rsidRPr="00F16A6D">
        <w:rPr>
          <w:rFonts w:ascii="Arial" w:eastAsia="Arial" w:hAnsi="Arial" w:cs="Arial"/>
          <w:sz w:val="22"/>
        </w:rPr>
        <w:t>h</w:t>
      </w:r>
      <w:r w:rsidR="312580EA" w:rsidRPr="00F16A6D">
        <w:rPr>
          <w:rFonts w:ascii="Arial" w:eastAsia="Arial" w:hAnsi="Arial" w:cs="Arial"/>
          <w:sz w:val="22"/>
        </w:rPr>
        <w:t xml:space="preserve">ealth </w:t>
      </w:r>
      <w:r w:rsidRPr="00F16A6D">
        <w:rPr>
          <w:rFonts w:ascii="Arial" w:eastAsia="Arial" w:hAnsi="Arial" w:cs="Arial"/>
          <w:sz w:val="22"/>
        </w:rPr>
        <w:t xml:space="preserve">study </w:t>
      </w:r>
      <w:r w:rsidR="4E8BEF7A" w:rsidRPr="00F16A6D">
        <w:rPr>
          <w:rFonts w:ascii="Arial" w:eastAsia="Arial" w:hAnsi="Arial" w:cs="Arial"/>
          <w:sz w:val="22"/>
        </w:rPr>
        <w:t>population</w:t>
      </w:r>
      <w:r w:rsidRPr="00F16A6D">
        <w:rPr>
          <w:rFonts w:ascii="Arial" w:eastAsia="Arial" w:hAnsi="Arial" w:cs="Arial"/>
          <w:sz w:val="22"/>
        </w:rPr>
        <w:t xml:space="preserve"> </w:t>
      </w:r>
      <w:r w:rsidR="5D9B67C6" w:rsidRPr="00F16A6D">
        <w:rPr>
          <w:rFonts w:ascii="Arial" w:eastAsia="Arial" w:hAnsi="Arial" w:cs="Arial"/>
          <w:sz w:val="22"/>
        </w:rPr>
        <w:t>i</w:t>
      </w:r>
      <w:r w:rsidR="0276B7CF" w:rsidRPr="00F16A6D">
        <w:rPr>
          <w:rFonts w:ascii="Arial" w:eastAsia="Arial" w:hAnsi="Arial" w:cs="Arial"/>
          <w:sz w:val="22"/>
        </w:rPr>
        <w:t>s</w:t>
      </w:r>
      <w:r w:rsidR="67C06563" w:rsidRPr="00F16A6D">
        <w:rPr>
          <w:rFonts w:ascii="Arial" w:eastAsia="Arial" w:hAnsi="Arial" w:cs="Arial"/>
          <w:sz w:val="22"/>
        </w:rPr>
        <w:t xml:space="preserve"> </w:t>
      </w:r>
      <w:r w:rsidR="5D9B67C6" w:rsidRPr="00F16A6D">
        <w:rPr>
          <w:rFonts w:ascii="Arial" w:eastAsia="Arial" w:hAnsi="Arial" w:cs="Arial"/>
          <w:sz w:val="22"/>
        </w:rPr>
        <w:t>made up of patients with at least one</w:t>
      </w:r>
      <w:r w:rsidR="532B6F62" w:rsidRPr="00F16A6D">
        <w:rPr>
          <w:rFonts w:ascii="Arial" w:eastAsia="Arial" w:hAnsi="Arial" w:cs="Arial"/>
          <w:sz w:val="22"/>
        </w:rPr>
        <w:t xml:space="preserve"> chronic</w:t>
      </w:r>
      <w:r w:rsidR="5D9B67C6" w:rsidRPr="00F16A6D">
        <w:rPr>
          <w:rFonts w:ascii="Arial" w:eastAsia="Arial" w:hAnsi="Arial" w:cs="Arial"/>
          <w:sz w:val="22"/>
        </w:rPr>
        <w:t xml:space="preserve"> </w:t>
      </w:r>
      <w:r w:rsidR="005F48DB" w:rsidRPr="00F16A6D">
        <w:rPr>
          <w:rFonts w:ascii="Arial" w:eastAsia="Arial" w:hAnsi="Arial" w:cs="Arial"/>
          <w:sz w:val="22"/>
        </w:rPr>
        <w:t>p</w:t>
      </w:r>
      <w:r w:rsidR="151D6722" w:rsidRPr="00F16A6D">
        <w:rPr>
          <w:rFonts w:ascii="Arial" w:eastAsia="Arial" w:hAnsi="Arial" w:cs="Arial"/>
          <w:sz w:val="22"/>
        </w:rPr>
        <w:t xml:space="preserve">sychiatric </w:t>
      </w:r>
      <w:r w:rsidR="00770C49" w:rsidRPr="00F16A6D">
        <w:rPr>
          <w:rFonts w:ascii="Arial" w:eastAsia="Arial" w:hAnsi="Arial" w:cs="Arial"/>
          <w:sz w:val="22"/>
        </w:rPr>
        <w:t>episode</w:t>
      </w:r>
      <w:r w:rsidR="003470A2" w:rsidRPr="00F16A6D">
        <w:rPr>
          <w:rFonts w:ascii="Arial" w:eastAsia="Arial" w:hAnsi="Arial" w:cs="Arial"/>
          <w:sz w:val="22"/>
        </w:rPr>
        <w:t>.</w:t>
      </w:r>
    </w:p>
    <w:p w14:paraId="101A139C" w14:textId="77777777" w:rsidR="00F77BE0" w:rsidRPr="00F16A6D" w:rsidRDefault="00F77BE0" w:rsidP="00F77BE0">
      <w:pPr>
        <w:pStyle w:val="ListParagraph"/>
        <w:spacing w:before="0" w:after="0" w:line="240" w:lineRule="auto"/>
        <w:rPr>
          <w:rFonts w:ascii="Arial" w:eastAsia="Arial" w:hAnsi="Arial" w:cs="Arial"/>
          <w:sz w:val="22"/>
        </w:rPr>
      </w:pPr>
    </w:p>
    <w:p w14:paraId="4AA43FB7" w14:textId="4E7F4C54" w:rsidR="000F5B93" w:rsidRPr="00F16A6D" w:rsidRDefault="5D08DC63" w:rsidP="0099593A">
      <w:pPr>
        <w:pStyle w:val="ListParagraph"/>
        <w:numPr>
          <w:ilvl w:val="0"/>
          <w:numId w:val="9"/>
        </w:numPr>
        <w:spacing w:before="0" w:after="0" w:line="240" w:lineRule="auto"/>
        <w:rPr>
          <w:rFonts w:ascii="Arial" w:eastAsia="Arial" w:hAnsi="Arial" w:cs="Arial"/>
          <w:sz w:val="22"/>
        </w:rPr>
      </w:pPr>
      <w:r w:rsidRPr="00F16A6D">
        <w:rPr>
          <w:rFonts w:ascii="Arial" w:eastAsia="Arial" w:hAnsi="Arial" w:cs="Arial"/>
          <w:sz w:val="22"/>
        </w:rPr>
        <w:t xml:space="preserve">The </w:t>
      </w:r>
      <w:r w:rsidR="5EE54CDB" w:rsidRPr="00F16A6D">
        <w:rPr>
          <w:rFonts w:ascii="Arial" w:eastAsia="Arial" w:hAnsi="Arial" w:cs="Arial"/>
          <w:sz w:val="22"/>
        </w:rPr>
        <w:t>c</w:t>
      </w:r>
      <w:r w:rsidRPr="00F16A6D">
        <w:rPr>
          <w:rFonts w:ascii="Arial" w:eastAsia="Arial" w:hAnsi="Arial" w:cs="Arial"/>
          <w:sz w:val="22"/>
        </w:rPr>
        <w:t xml:space="preserve">hronic </w:t>
      </w:r>
      <w:r w:rsidR="23CF976F" w:rsidRPr="00F16A6D">
        <w:rPr>
          <w:rFonts w:ascii="Arial" w:eastAsia="Arial" w:hAnsi="Arial" w:cs="Arial"/>
          <w:sz w:val="22"/>
        </w:rPr>
        <w:t>m</w:t>
      </w:r>
      <w:r w:rsidR="06F9DDAB" w:rsidRPr="00F16A6D">
        <w:rPr>
          <w:rFonts w:ascii="Arial" w:eastAsia="Arial" w:hAnsi="Arial" w:cs="Arial"/>
          <w:sz w:val="22"/>
        </w:rPr>
        <w:t xml:space="preserve">edical </w:t>
      </w:r>
      <w:r w:rsidRPr="00F16A6D">
        <w:rPr>
          <w:rFonts w:ascii="Arial" w:eastAsia="Arial" w:hAnsi="Arial" w:cs="Arial"/>
          <w:sz w:val="22"/>
        </w:rPr>
        <w:t xml:space="preserve">and </w:t>
      </w:r>
      <w:r w:rsidR="04EDC872" w:rsidRPr="00F16A6D">
        <w:rPr>
          <w:rFonts w:ascii="Arial" w:eastAsia="Arial" w:hAnsi="Arial" w:cs="Arial"/>
          <w:sz w:val="22"/>
        </w:rPr>
        <w:t>b</w:t>
      </w:r>
      <w:r w:rsidRPr="00F16A6D">
        <w:rPr>
          <w:rFonts w:ascii="Arial" w:eastAsia="Arial" w:hAnsi="Arial" w:cs="Arial"/>
          <w:sz w:val="22"/>
        </w:rPr>
        <w:t xml:space="preserve">ehavioral </w:t>
      </w:r>
      <w:r w:rsidR="4B78A408" w:rsidRPr="00F16A6D">
        <w:rPr>
          <w:rFonts w:ascii="Arial" w:eastAsia="Arial" w:hAnsi="Arial" w:cs="Arial"/>
          <w:sz w:val="22"/>
        </w:rPr>
        <w:t>h</w:t>
      </w:r>
      <w:r w:rsidRPr="00F16A6D">
        <w:rPr>
          <w:rFonts w:ascii="Arial" w:eastAsia="Arial" w:hAnsi="Arial" w:cs="Arial"/>
          <w:sz w:val="22"/>
        </w:rPr>
        <w:t xml:space="preserve">ealth </w:t>
      </w:r>
      <w:r w:rsidR="4C840E4C" w:rsidRPr="00F16A6D">
        <w:rPr>
          <w:rFonts w:ascii="Arial" w:eastAsia="Arial" w:hAnsi="Arial" w:cs="Arial"/>
          <w:sz w:val="22"/>
        </w:rPr>
        <w:t>c</w:t>
      </w:r>
      <w:r w:rsidRPr="00F16A6D">
        <w:rPr>
          <w:rFonts w:ascii="Arial" w:eastAsia="Arial" w:hAnsi="Arial" w:cs="Arial"/>
          <w:sz w:val="22"/>
        </w:rPr>
        <w:t xml:space="preserve">ondition </w:t>
      </w:r>
      <w:r w:rsidR="5AAB6417" w:rsidRPr="00F16A6D">
        <w:rPr>
          <w:rFonts w:ascii="Arial" w:eastAsia="Arial" w:hAnsi="Arial" w:cs="Arial"/>
          <w:sz w:val="22"/>
        </w:rPr>
        <w:t xml:space="preserve">population </w:t>
      </w:r>
      <w:r w:rsidR="4923BF4D" w:rsidRPr="00F16A6D">
        <w:rPr>
          <w:rFonts w:ascii="Arial" w:eastAsia="Arial" w:hAnsi="Arial" w:cs="Arial"/>
          <w:sz w:val="22"/>
        </w:rPr>
        <w:t>i</w:t>
      </w:r>
      <w:r w:rsidR="2273887C" w:rsidRPr="00F16A6D">
        <w:rPr>
          <w:rFonts w:ascii="Arial" w:eastAsia="Arial" w:hAnsi="Arial" w:cs="Arial"/>
          <w:sz w:val="22"/>
        </w:rPr>
        <w:t>ncludes members who have both a chronic medical condition and a chronic behavioral health condition</w:t>
      </w:r>
      <w:r w:rsidR="3CB0861E" w:rsidRPr="00F16A6D">
        <w:rPr>
          <w:rFonts w:ascii="Arial" w:eastAsia="Arial" w:hAnsi="Arial" w:cs="Arial"/>
          <w:sz w:val="22"/>
        </w:rPr>
        <w:t>.</w:t>
      </w:r>
    </w:p>
    <w:p w14:paraId="0D5AB0DA" w14:textId="77777777" w:rsidR="00EB09F0" w:rsidRPr="00F16A6D" w:rsidRDefault="00EB09F0" w:rsidP="00EB09F0">
      <w:pPr>
        <w:pStyle w:val="ListParagraph"/>
        <w:spacing w:before="0" w:after="0" w:line="240" w:lineRule="auto"/>
        <w:rPr>
          <w:rFonts w:ascii="Arial" w:eastAsia="Arial" w:hAnsi="Arial" w:cs="Arial"/>
          <w:sz w:val="22"/>
        </w:rPr>
      </w:pPr>
    </w:p>
    <w:p w14:paraId="7F417112" w14:textId="6C01BE67" w:rsidR="00C206FC" w:rsidRPr="00F16A6D" w:rsidRDefault="2F91FDDB" w:rsidP="0099593A">
      <w:pPr>
        <w:spacing w:before="0" w:after="0" w:line="240" w:lineRule="auto"/>
        <w:rPr>
          <w:rFonts w:ascii="Arial" w:eastAsia="Arial" w:hAnsi="Arial" w:cs="Arial"/>
          <w:sz w:val="22"/>
        </w:rPr>
      </w:pPr>
      <w:r w:rsidRPr="00F16A6D">
        <w:rPr>
          <w:rFonts w:ascii="Arial" w:eastAsia="Arial" w:hAnsi="Arial" w:cs="Arial"/>
          <w:sz w:val="22"/>
        </w:rPr>
        <w:t>On- and off-exchange, individual market and small business claims data is used to determine placement into one of the above groups</w:t>
      </w:r>
      <w:r w:rsidR="0F96C548" w:rsidRPr="00F16A6D">
        <w:rPr>
          <w:rFonts w:ascii="Arial" w:eastAsia="Arial" w:hAnsi="Arial" w:cs="Arial"/>
          <w:sz w:val="22"/>
        </w:rPr>
        <w:t>, with</w:t>
      </w:r>
      <w:r w:rsidRPr="00F16A6D">
        <w:rPr>
          <w:rFonts w:ascii="Arial" w:eastAsia="Arial" w:hAnsi="Arial" w:cs="Arial"/>
          <w:sz w:val="22"/>
        </w:rPr>
        <w:t xml:space="preserve"> </w:t>
      </w:r>
      <w:r w:rsidR="407739C6" w:rsidRPr="00F16A6D">
        <w:rPr>
          <w:rFonts w:ascii="Arial" w:eastAsia="Arial" w:hAnsi="Arial" w:cs="Arial"/>
          <w:sz w:val="22"/>
        </w:rPr>
        <w:t>a</w:t>
      </w:r>
      <w:r w:rsidR="69C471E6" w:rsidRPr="00F16A6D">
        <w:rPr>
          <w:rFonts w:ascii="Arial" w:eastAsia="Arial" w:hAnsi="Arial" w:cs="Arial"/>
          <w:sz w:val="22"/>
        </w:rPr>
        <w:t xml:space="preserve"> lookback period</w:t>
      </w:r>
      <w:r w:rsidR="7532E6D3" w:rsidRPr="00F16A6D">
        <w:rPr>
          <w:rFonts w:ascii="Arial" w:eastAsia="Arial" w:hAnsi="Arial" w:cs="Arial"/>
          <w:sz w:val="22"/>
        </w:rPr>
        <w:t xml:space="preserve"> of </w:t>
      </w:r>
      <w:r w:rsidR="00357B0C" w:rsidRPr="00F16A6D">
        <w:rPr>
          <w:rFonts w:ascii="Arial" w:eastAsia="Arial" w:hAnsi="Arial" w:cs="Arial"/>
          <w:sz w:val="22"/>
        </w:rPr>
        <w:t>two</w:t>
      </w:r>
      <w:r w:rsidR="7532E6D3" w:rsidRPr="00F16A6D">
        <w:rPr>
          <w:rFonts w:ascii="Arial" w:eastAsia="Arial" w:hAnsi="Arial" w:cs="Arial"/>
          <w:sz w:val="22"/>
        </w:rPr>
        <w:t xml:space="preserve"> </w:t>
      </w:r>
      <w:r w:rsidR="1C734B7A" w:rsidRPr="00F16A6D">
        <w:rPr>
          <w:rFonts w:ascii="Arial" w:eastAsia="Arial" w:hAnsi="Arial" w:cs="Arial"/>
          <w:sz w:val="22"/>
        </w:rPr>
        <w:t>years</w:t>
      </w:r>
      <w:r w:rsidR="001414E7" w:rsidRPr="00F16A6D">
        <w:rPr>
          <w:rFonts w:ascii="Arial" w:eastAsia="Arial" w:hAnsi="Arial" w:cs="Arial"/>
          <w:sz w:val="22"/>
        </w:rPr>
        <w:t xml:space="preserve"> prior to the report year</w:t>
      </w:r>
      <w:r w:rsidR="46477B15" w:rsidRPr="00F16A6D">
        <w:rPr>
          <w:rFonts w:ascii="Arial" w:eastAsia="Arial" w:hAnsi="Arial" w:cs="Arial"/>
          <w:sz w:val="22"/>
        </w:rPr>
        <w:t>.</w:t>
      </w:r>
      <w:r w:rsidR="7C342AA2" w:rsidRPr="00F16A6D">
        <w:rPr>
          <w:rFonts w:ascii="Arial" w:eastAsia="Arial" w:hAnsi="Arial" w:cs="Arial"/>
          <w:sz w:val="22"/>
        </w:rPr>
        <w:t xml:space="preserve"> </w:t>
      </w:r>
      <w:r w:rsidR="353E284A" w:rsidRPr="00F16A6D">
        <w:rPr>
          <w:rFonts w:ascii="Arial" w:eastAsia="Arial" w:hAnsi="Arial" w:cs="Arial"/>
          <w:sz w:val="22"/>
        </w:rPr>
        <w:t xml:space="preserve">This is done to </w:t>
      </w:r>
      <w:r w:rsidR="1C261F78" w:rsidRPr="00F16A6D">
        <w:rPr>
          <w:rFonts w:ascii="Arial" w:eastAsia="Arial" w:hAnsi="Arial" w:cs="Arial"/>
          <w:sz w:val="22"/>
        </w:rPr>
        <w:t xml:space="preserve">ensure that members are counted in the proper population regardless of their </w:t>
      </w:r>
      <w:r w:rsidR="235CBECD" w:rsidRPr="00F16A6D">
        <w:rPr>
          <w:rFonts w:ascii="Arial" w:eastAsia="Arial" w:hAnsi="Arial" w:cs="Arial"/>
          <w:sz w:val="22"/>
        </w:rPr>
        <w:t>current utilization</w:t>
      </w:r>
      <w:r w:rsidR="37B5E10F" w:rsidRPr="00F16A6D">
        <w:rPr>
          <w:rFonts w:ascii="Arial" w:eastAsia="Arial" w:hAnsi="Arial" w:cs="Arial"/>
          <w:sz w:val="22"/>
        </w:rPr>
        <w:t xml:space="preserve"> or</w:t>
      </w:r>
      <w:r w:rsidR="6CF63F8A" w:rsidRPr="00F16A6D">
        <w:rPr>
          <w:rFonts w:ascii="Arial" w:eastAsia="Arial" w:hAnsi="Arial" w:cs="Arial"/>
          <w:sz w:val="22"/>
        </w:rPr>
        <w:t xml:space="preserve"> previous</w:t>
      </w:r>
      <w:r w:rsidR="37B5E10F" w:rsidRPr="00F16A6D">
        <w:rPr>
          <w:rFonts w:ascii="Arial" w:eastAsia="Arial" w:hAnsi="Arial" w:cs="Arial"/>
          <w:sz w:val="22"/>
        </w:rPr>
        <w:t xml:space="preserve"> enrollment.</w:t>
      </w:r>
      <w:r w:rsidR="74D33E82" w:rsidRPr="00F16A6D">
        <w:rPr>
          <w:rFonts w:ascii="Arial" w:eastAsia="Arial" w:hAnsi="Arial" w:cs="Arial"/>
          <w:sz w:val="22"/>
        </w:rPr>
        <w:t xml:space="preserve"> Exclusion logic is used to ensure that members are only counted in one of the chronic condition groups.</w:t>
      </w:r>
    </w:p>
    <w:p w14:paraId="5A5405FD" w14:textId="77777777" w:rsidR="0099593A" w:rsidRPr="00F16A6D" w:rsidRDefault="0099593A" w:rsidP="0099593A">
      <w:pPr>
        <w:spacing w:before="0" w:after="0" w:line="240" w:lineRule="auto"/>
        <w:rPr>
          <w:rFonts w:ascii="Arial" w:eastAsia="Arial" w:hAnsi="Arial" w:cs="Arial"/>
          <w:sz w:val="22"/>
        </w:rPr>
      </w:pPr>
    </w:p>
    <w:p w14:paraId="41DF681B" w14:textId="74F8EED2" w:rsidR="00EB2CA6" w:rsidRDefault="527D5A64" w:rsidP="6E8B322F">
      <w:pPr>
        <w:spacing w:before="0" w:after="0" w:line="240" w:lineRule="auto"/>
        <w:rPr>
          <w:rFonts w:ascii="Arial" w:eastAsia="Arial" w:hAnsi="Arial" w:cs="Arial"/>
          <w:sz w:val="22"/>
          <w:szCs w:val="22"/>
        </w:rPr>
      </w:pPr>
      <w:r w:rsidRPr="6E8B322F">
        <w:rPr>
          <w:rFonts w:ascii="Arial" w:eastAsia="Arial" w:hAnsi="Arial" w:cs="Arial"/>
          <w:sz w:val="22"/>
          <w:szCs w:val="22"/>
        </w:rPr>
        <w:t xml:space="preserve">For example, </w:t>
      </w:r>
      <w:r w:rsidR="665A2664" w:rsidRPr="6E8B322F">
        <w:rPr>
          <w:rFonts w:ascii="Arial" w:eastAsia="Arial" w:hAnsi="Arial" w:cs="Arial"/>
          <w:sz w:val="22"/>
          <w:szCs w:val="22"/>
        </w:rPr>
        <w:t xml:space="preserve">a member with a </w:t>
      </w:r>
      <w:r w:rsidRPr="6E8B322F">
        <w:rPr>
          <w:rFonts w:ascii="Arial" w:eastAsia="Arial" w:hAnsi="Arial" w:cs="Arial"/>
          <w:sz w:val="22"/>
          <w:szCs w:val="22"/>
        </w:rPr>
        <w:t>chronic</w:t>
      </w:r>
      <w:r w:rsidR="6564E330" w:rsidRPr="6E8B322F">
        <w:rPr>
          <w:rFonts w:ascii="Arial" w:eastAsia="Arial" w:hAnsi="Arial" w:cs="Arial"/>
          <w:sz w:val="22"/>
          <w:szCs w:val="22"/>
        </w:rPr>
        <w:t xml:space="preserve"> medical</w:t>
      </w:r>
      <w:r w:rsidRPr="6E8B322F">
        <w:rPr>
          <w:rFonts w:ascii="Arial" w:eastAsia="Arial" w:hAnsi="Arial" w:cs="Arial"/>
          <w:sz w:val="22"/>
          <w:szCs w:val="22"/>
        </w:rPr>
        <w:t xml:space="preserve"> </w:t>
      </w:r>
      <w:r w:rsidR="4C63B25C" w:rsidRPr="6E8B322F">
        <w:rPr>
          <w:rFonts w:ascii="Arial" w:eastAsia="Arial" w:hAnsi="Arial" w:cs="Arial"/>
          <w:sz w:val="22"/>
          <w:szCs w:val="22"/>
        </w:rPr>
        <w:t xml:space="preserve">episode </w:t>
      </w:r>
      <w:r w:rsidRPr="6E8B322F">
        <w:rPr>
          <w:rFonts w:ascii="Arial" w:eastAsia="Arial" w:hAnsi="Arial" w:cs="Arial"/>
          <w:sz w:val="22"/>
          <w:szCs w:val="22"/>
        </w:rPr>
        <w:t>in 202</w:t>
      </w:r>
      <w:r w:rsidR="00A25862" w:rsidRPr="6E8B322F">
        <w:rPr>
          <w:rFonts w:ascii="Arial" w:eastAsia="Arial" w:hAnsi="Arial" w:cs="Arial"/>
          <w:sz w:val="22"/>
          <w:szCs w:val="22"/>
        </w:rPr>
        <w:t>2</w:t>
      </w:r>
      <w:r w:rsidR="3DE08C68" w:rsidRPr="6E8B322F">
        <w:rPr>
          <w:rFonts w:ascii="Arial" w:eastAsia="Arial" w:hAnsi="Arial" w:cs="Arial"/>
          <w:sz w:val="22"/>
          <w:szCs w:val="22"/>
        </w:rPr>
        <w:t xml:space="preserve"> a</w:t>
      </w:r>
      <w:r w:rsidR="560238D3" w:rsidRPr="6E8B322F">
        <w:rPr>
          <w:rFonts w:ascii="Arial" w:eastAsia="Arial" w:hAnsi="Arial" w:cs="Arial"/>
          <w:sz w:val="22"/>
          <w:szCs w:val="22"/>
        </w:rPr>
        <w:t>n</w:t>
      </w:r>
      <w:r w:rsidR="3DE08C68" w:rsidRPr="6E8B322F">
        <w:rPr>
          <w:rFonts w:ascii="Arial" w:eastAsia="Arial" w:hAnsi="Arial" w:cs="Arial"/>
          <w:sz w:val="22"/>
          <w:szCs w:val="22"/>
        </w:rPr>
        <w:t xml:space="preserve">d a </w:t>
      </w:r>
      <w:r w:rsidR="2D9D7706" w:rsidRPr="6E8B322F">
        <w:rPr>
          <w:rFonts w:ascii="Arial" w:eastAsia="Arial" w:hAnsi="Arial" w:cs="Arial"/>
          <w:sz w:val="22"/>
          <w:szCs w:val="22"/>
        </w:rPr>
        <w:t xml:space="preserve">chronic </w:t>
      </w:r>
      <w:r w:rsidR="3DE08C68" w:rsidRPr="6E8B322F">
        <w:rPr>
          <w:rFonts w:ascii="Arial" w:eastAsia="Arial" w:hAnsi="Arial" w:cs="Arial"/>
          <w:sz w:val="22"/>
          <w:szCs w:val="22"/>
        </w:rPr>
        <w:t>behavior health episode in 2023 will</w:t>
      </w:r>
      <w:r w:rsidR="48F2310E" w:rsidRPr="6E8B322F">
        <w:rPr>
          <w:rFonts w:ascii="Arial" w:eastAsia="Arial" w:hAnsi="Arial" w:cs="Arial"/>
          <w:sz w:val="22"/>
          <w:szCs w:val="22"/>
        </w:rPr>
        <w:t xml:space="preserve"> be counted in the chronic </w:t>
      </w:r>
      <w:r w:rsidR="6ED8C2F3" w:rsidRPr="6E8B322F">
        <w:rPr>
          <w:rFonts w:ascii="Arial" w:eastAsia="Arial" w:hAnsi="Arial" w:cs="Arial"/>
          <w:sz w:val="22"/>
          <w:szCs w:val="22"/>
        </w:rPr>
        <w:t xml:space="preserve">medical </w:t>
      </w:r>
      <w:r w:rsidR="48F2310E" w:rsidRPr="6E8B322F">
        <w:rPr>
          <w:rFonts w:ascii="Arial" w:eastAsia="Arial" w:hAnsi="Arial" w:cs="Arial"/>
          <w:sz w:val="22"/>
          <w:szCs w:val="22"/>
        </w:rPr>
        <w:t xml:space="preserve">condition </w:t>
      </w:r>
      <w:r w:rsidR="49F2E150" w:rsidRPr="6E8B322F">
        <w:rPr>
          <w:rFonts w:ascii="Arial" w:eastAsia="Arial" w:hAnsi="Arial" w:cs="Arial"/>
          <w:sz w:val="22"/>
          <w:szCs w:val="22"/>
        </w:rPr>
        <w:t xml:space="preserve">population </w:t>
      </w:r>
      <w:r w:rsidR="1E96D4E6" w:rsidRPr="6E8B322F">
        <w:rPr>
          <w:rFonts w:ascii="Arial" w:eastAsia="Arial" w:hAnsi="Arial" w:cs="Arial"/>
          <w:sz w:val="22"/>
          <w:szCs w:val="22"/>
        </w:rPr>
        <w:t xml:space="preserve">for </w:t>
      </w:r>
      <w:r w:rsidR="68FCC154" w:rsidRPr="6E8B322F">
        <w:rPr>
          <w:rFonts w:ascii="Arial" w:eastAsia="Arial" w:hAnsi="Arial" w:cs="Arial"/>
          <w:sz w:val="22"/>
          <w:szCs w:val="22"/>
        </w:rPr>
        <w:t>2022 and</w:t>
      </w:r>
      <w:r w:rsidR="1E96D4E6" w:rsidRPr="6E8B322F">
        <w:rPr>
          <w:rFonts w:ascii="Arial" w:eastAsia="Arial" w:hAnsi="Arial" w:cs="Arial"/>
          <w:sz w:val="22"/>
          <w:szCs w:val="22"/>
        </w:rPr>
        <w:t xml:space="preserve"> be placed in the </w:t>
      </w:r>
      <w:r w:rsidR="1D6FEEE5" w:rsidRPr="6E8B322F">
        <w:rPr>
          <w:rFonts w:ascii="Arial" w:eastAsia="Arial" w:hAnsi="Arial" w:cs="Arial"/>
          <w:sz w:val="22"/>
          <w:szCs w:val="22"/>
        </w:rPr>
        <w:t xml:space="preserve">chronic </w:t>
      </w:r>
      <w:r w:rsidR="62F930F2" w:rsidRPr="6E8B322F">
        <w:rPr>
          <w:rFonts w:ascii="Arial" w:eastAsia="Arial" w:hAnsi="Arial" w:cs="Arial"/>
          <w:sz w:val="22"/>
          <w:szCs w:val="22"/>
        </w:rPr>
        <w:t xml:space="preserve">medical </w:t>
      </w:r>
      <w:r w:rsidR="1D6FEEE5" w:rsidRPr="6E8B322F">
        <w:rPr>
          <w:rFonts w:ascii="Arial" w:eastAsia="Arial" w:hAnsi="Arial" w:cs="Arial"/>
          <w:sz w:val="22"/>
          <w:szCs w:val="22"/>
        </w:rPr>
        <w:t xml:space="preserve">condition and behavioral health condition </w:t>
      </w:r>
      <w:r w:rsidR="5773E241" w:rsidRPr="6E8B322F">
        <w:rPr>
          <w:rFonts w:ascii="Arial" w:eastAsia="Arial" w:hAnsi="Arial" w:cs="Arial"/>
          <w:sz w:val="22"/>
          <w:szCs w:val="22"/>
        </w:rPr>
        <w:t>population for 2023</w:t>
      </w:r>
      <w:r w:rsidR="1B3F954B" w:rsidRPr="6E8B322F">
        <w:rPr>
          <w:rFonts w:ascii="Arial" w:eastAsia="Arial" w:hAnsi="Arial" w:cs="Arial"/>
          <w:sz w:val="22"/>
          <w:szCs w:val="22"/>
        </w:rPr>
        <w:t xml:space="preserve"> and 2024</w:t>
      </w:r>
      <w:r w:rsidR="5773E241" w:rsidRPr="6E8B322F">
        <w:rPr>
          <w:rFonts w:ascii="Arial" w:eastAsia="Arial" w:hAnsi="Arial" w:cs="Arial"/>
          <w:sz w:val="22"/>
          <w:szCs w:val="22"/>
        </w:rPr>
        <w:t>.</w:t>
      </w:r>
      <w:r w:rsidR="6ED5C507" w:rsidRPr="6E8B322F">
        <w:rPr>
          <w:rFonts w:ascii="Arial" w:eastAsia="Arial" w:hAnsi="Arial" w:cs="Arial"/>
          <w:sz w:val="22"/>
          <w:szCs w:val="22"/>
        </w:rPr>
        <w:t xml:space="preserve"> </w:t>
      </w:r>
      <w:r w:rsidR="784462BE" w:rsidRPr="6E8B322F">
        <w:rPr>
          <w:rFonts w:ascii="Arial" w:eastAsia="Arial" w:hAnsi="Arial" w:cs="Arial"/>
          <w:sz w:val="22"/>
          <w:szCs w:val="22"/>
        </w:rPr>
        <w:t>With no further qualifying episodes</w:t>
      </w:r>
      <w:r w:rsidR="6ED5C507" w:rsidRPr="6E8B322F">
        <w:rPr>
          <w:rFonts w:ascii="Arial" w:eastAsia="Arial" w:hAnsi="Arial" w:cs="Arial"/>
          <w:sz w:val="22"/>
          <w:szCs w:val="22"/>
        </w:rPr>
        <w:t xml:space="preserve">, they will be </w:t>
      </w:r>
      <w:r w:rsidR="43578D43" w:rsidRPr="6E8B322F">
        <w:rPr>
          <w:rFonts w:ascii="Arial" w:eastAsia="Arial" w:hAnsi="Arial" w:cs="Arial"/>
          <w:sz w:val="22"/>
          <w:szCs w:val="22"/>
        </w:rPr>
        <w:t>in the behavioral health condition population</w:t>
      </w:r>
      <w:r w:rsidR="393FEB0E" w:rsidRPr="6E8B322F">
        <w:rPr>
          <w:rFonts w:ascii="Arial" w:eastAsia="Arial" w:hAnsi="Arial" w:cs="Arial"/>
          <w:sz w:val="22"/>
          <w:szCs w:val="22"/>
        </w:rPr>
        <w:t xml:space="preserve"> in 2025</w:t>
      </w:r>
      <w:r w:rsidR="19E2D4CE" w:rsidRPr="6E8B322F">
        <w:rPr>
          <w:rFonts w:ascii="Arial" w:eastAsia="Arial" w:hAnsi="Arial" w:cs="Arial"/>
          <w:sz w:val="22"/>
          <w:szCs w:val="22"/>
        </w:rPr>
        <w:t xml:space="preserve">, </w:t>
      </w:r>
      <w:r w:rsidR="393FEB0E" w:rsidRPr="6E8B322F">
        <w:rPr>
          <w:rFonts w:ascii="Arial" w:eastAsia="Arial" w:hAnsi="Arial" w:cs="Arial"/>
          <w:sz w:val="22"/>
          <w:szCs w:val="22"/>
        </w:rPr>
        <w:t xml:space="preserve">and the </w:t>
      </w:r>
      <w:r w:rsidR="405A6B77" w:rsidRPr="6E8B322F">
        <w:rPr>
          <w:rFonts w:ascii="Arial" w:eastAsia="Arial" w:hAnsi="Arial" w:cs="Arial"/>
          <w:sz w:val="22"/>
          <w:szCs w:val="22"/>
        </w:rPr>
        <w:t>over</w:t>
      </w:r>
      <w:r w:rsidR="393FEB0E" w:rsidRPr="6E8B322F">
        <w:rPr>
          <w:rFonts w:ascii="Arial" w:eastAsia="Arial" w:hAnsi="Arial" w:cs="Arial"/>
          <w:sz w:val="22"/>
          <w:szCs w:val="22"/>
        </w:rPr>
        <w:t>al</w:t>
      </w:r>
      <w:r w:rsidR="52C10B67" w:rsidRPr="6E8B322F">
        <w:rPr>
          <w:rFonts w:ascii="Arial" w:eastAsia="Arial" w:hAnsi="Arial" w:cs="Arial"/>
          <w:sz w:val="22"/>
          <w:szCs w:val="22"/>
        </w:rPr>
        <w:t>l</w:t>
      </w:r>
      <w:r w:rsidR="393FEB0E" w:rsidRPr="6E8B322F">
        <w:rPr>
          <w:rFonts w:ascii="Arial" w:eastAsia="Arial" w:hAnsi="Arial" w:cs="Arial"/>
          <w:sz w:val="22"/>
          <w:szCs w:val="22"/>
        </w:rPr>
        <w:t xml:space="preserve"> population</w:t>
      </w:r>
      <w:r w:rsidR="001D3E20" w:rsidRPr="6E8B322F">
        <w:rPr>
          <w:rFonts w:ascii="Arial" w:eastAsia="Arial" w:hAnsi="Arial" w:cs="Arial"/>
          <w:sz w:val="22"/>
          <w:szCs w:val="22"/>
        </w:rPr>
        <w:t xml:space="preserve"> </w:t>
      </w:r>
      <w:r w:rsidR="393FEB0E" w:rsidRPr="6E8B322F">
        <w:rPr>
          <w:rFonts w:ascii="Arial" w:eastAsia="Arial" w:hAnsi="Arial" w:cs="Arial"/>
          <w:sz w:val="22"/>
          <w:szCs w:val="22"/>
        </w:rPr>
        <w:t>in 202</w:t>
      </w:r>
      <w:r w:rsidR="00441F28" w:rsidRPr="6E8B322F">
        <w:rPr>
          <w:rFonts w:ascii="Arial" w:eastAsia="Arial" w:hAnsi="Arial" w:cs="Arial"/>
          <w:sz w:val="22"/>
          <w:szCs w:val="22"/>
        </w:rPr>
        <w:t>6</w:t>
      </w:r>
      <w:r w:rsidR="393FEB0E" w:rsidRPr="6E8B322F">
        <w:rPr>
          <w:rFonts w:ascii="Arial" w:eastAsia="Arial" w:hAnsi="Arial" w:cs="Arial"/>
          <w:sz w:val="22"/>
          <w:szCs w:val="22"/>
        </w:rPr>
        <w:t xml:space="preserve">. </w:t>
      </w:r>
    </w:p>
    <w:p w14:paraId="5D842428" w14:textId="77777777" w:rsidR="00F77BE0" w:rsidRPr="00F16A6D" w:rsidRDefault="00F77BE0" w:rsidP="0099593A">
      <w:pPr>
        <w:spacing w:before="0" w:after="0" w:line="240" w:lineRule="auto"/>
        <w:rPr>
          <w:rFonts w:ascii="Arial" w:eastAsia="Arial" w:hAnsi="Arial" w:cs="Arial"/>
          <w:sz w:val="22"/>
        </w:rPr>
      </w:pPr>
    </w:p>
    <w:p w14:paraId="32BC87E0" w14:textId="77777777" w:rsidR="00EB2CA6" w:rsidRDefault="00EB2CA6" w:rsidP="00EB2CA6">
      <w:pPr>
        <w:spacing w:before="0" w:after="0" w:line="240" w:lineRule="auto"/>
        <w:rPr>
          <w:rFonts w:ascii="Arial" w:eastAsia="Arial" w:hAnsi="Arial" w:cs="Arial"/>
        </w:rPr>
      </w:pPr>
    </w:p>
    <w:tbl>
      <w:tblPr>
        <w:tblW w:w="7580" w:type="dxa"/>
        <w:jc w:val="center"/>
        <w:tblLook w:val="04A0" w:firstRow="1" w:lastRow="0" w:firstColumn="1" w:lastColumn="0" w:noHBand="0" w:noVBand="1"/>
      </w:tblPr>
      <w:tblGrid>
        <w:gridCol w:w="2080"/>
        <w:gridCol w:w="1100"/>
        <w:gridCol w:w="1230"/>
        <w:gridCol w:w="1145"/>
        <w:gridCol w:w="925"/>
        <w:gridCol w:w="1100"/>
      </w:tblGrid>
      <w:tr w:rsidR="00576474" w:rsidRPr="00671C98" w14:paraId="4729A16E" w14:textId="77777777" w:rsidTr="381FBA0D">
        <w:trPr>
          <w:cantSplit/>
          <w:trHeight w:val="300"/>
          <w:jc w:val="center"/>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862B8D8" w14:textId="77777777" w:rsidR="00576474" w:rsidRPr="00671C98" w:rsidRDefault="00576474" w:rsidP="00576474">
            <w:pPr>
              <w:spacing w:before="0" w:after="0" w:line="240" w:lineRule="auto"/>
              <w:rPr>
                <w:rFonts w:ascii="Arial" w:eastAsia="Times New Roman" w:hAnsi="Arial" w:cs="Arial"/>
                <w:b/>
                <w:bCs/>
                <w:color w:val="000000"/>
              </w:rPr>
            </w:pPr>
            <w:r w:rsidRPr="00671C98">
              <w:rPr>
                <w:rFonts w:ascii="Arial" w:eastAsia="Times New Roman" w:hAnsi="Arial" w:cs="Arial"/>
                <w:b/>
                <w:bCs/>
                <w:color w:val="000000"/>
              </w:rPr>
              <w:t>Report Year</w:t>
            </w:r>
          </w:p>
        </w:tc>
        <w:tc>
          <w:tcPr>
            <w:tcW w:w="1100" w:type="dxa"/>
            <w:tcBorders>
              <w:top w:val="single" w:sz="4" w:space="0" w:color="auto"/>
              <w:left w:val="nil"/>
              <w:bottom w:val="single" w:sz="4" w:space="0" w:color="auto"/>
              <w:right w:val="single" w:sz="4" w:space="0" w:color="auto"/>
            </w:tcBorders>
            <w:noWrap/>
            <w:vAlign w:val="center"/>
            <w:hideMark/>
          </w:tcPr>
          <w:p w14:paraId="1E59FB41" w14:textId="77777777" w:rsidR="00576474" w:rsidRPr="00671C98" w:rsidRDefault="00576474" w:rsidP="00B109C7">
            <w:pPr>
              <w:spacing w:before="0" w:after="0" w:line="240" w:lineRule="auto"/>
              <w:jc w:val="center"/>
              <w:rPr>
                <w:rFonts w:ascii="Arial" w:eastAsia="Times New Roman" w:hAnsi="Arial" w:cs="Arial"/>
                <w:b/>
                <w:bCs/>
                <w:color w:val="000000"/>
              </w:rPr>
            </w:pPr>
            <w:r w:rsidRPr="00671C98">
              <w:rPr>
                <w:rFonts w:ascii="Arial" w:eastAsia="Times New Roman" w:hAnsi="Arial" w:cs="Arial"/>
                <w:b/>
                <w:bCs/>
                <w:color w:val="000000"/>
              </w:rPr>
              <w:t>2022</w:t>
            </w:r>
          </w:p>
        </w:tc>
        <w:tc>
          <w:tcPr>
            <w:tcW w:w="1230" w:type="dxa"/>
            <w:tcBorders>
              <w:top w:val="single" w:sz="4" w:space="0" w:color="auto"/>
              <w:left w:val="nil"/>
              <w:bottom w:val="single" w:sz="4" w:space="0" w:color="auto"/>
              <w:right w:val="single" w:sz="4" w:space="0" w:color="auto"/>
            </w:tcBorders>
            <w:noWrap/>
            <w:vAlign w:val="center"/>
            <w:hideMark/>
          </w:tcPr>
          <w:p w14:paraId="7D08BCB5" w14:textId="77777777" w:rsidR="00576474" w:rsidRPr="00671C98" w:rsidRDefault="00576474" w:rsidP="00B109C7">
            <w:pPr>
              <w:spacing w:before="0" w:after="0" w:line="240" w:lineRule="auto"/>
              <w:jc w:val="center"/>
              <w:rPr>
                <w:rFonts w:ascii="Arial" w:eastAsia="Times New Roman" w:hAnsi="Arial" w:cs="Arial"/>
                <w:b/>
                <w:bCs/>
                <w:color w:val="000000"/>
              </w:rPr>
            </w:pPr>
            <w:r w:rsidRPr="00671C98">
              <w:rPr>
                <w:rFonts w:ascii="Arial" w:eastAsia="Times New Roman" w:hAnsi="Arial" w:cs="Arial"/>
                <w:b/>
                <w:bCs/>
                <w:color w:val="000000"/>
              </w:rPr>
              <w:t>2023</w:t>
            </w:r>
          </w:p>
        </w:tc>
        <w:tc>
          <w:tcPr>
            <w:tcW w:w="1145" w:type="dxa"/>
            <w:tcBorders>
              <w:top w:val="single" w:sz="4" w:space="0" w:color="auto"/>
              <w:left w:val="nil"/>
              <w:bottom w:val="single" w:sz="4" w:space="0" w:color="auto"/>
              <w:right w:val="single" w:sz="4" w:space="0" w:color="auto"/>
            </w:tcBorders>
            <w:noWrap/>
            <w:vAlign w:val="center"/>
            <w:hideMark/>
          </w:tcPr>
          <w:p w14:paraId="533C72A0" w14:textId="77777777" w:rsidR="00576474" w:rsidRPr="00671C98" w:rsidRDefault="00576474" w:rsidP="00B109C7">
            <w:pPr>
              <w:spacing w:before="0" w:after="0" w:line="240" w:lineRule="auto"/>
              <w:jc w:val="center"/>
              <w:rPr>
                <w:rFonts w:ascii="Arial" w:eastAsia="Times New Roman" w:hAnsi="Arial" w:cs="Arial"/>
                <w:b/>
                <w:bCs/>
                <w:color w:val="000000"/>
              </w:rPr>
            </w:pPr>
            <w:r w:rsidRPr="00671C98">
              <w:rPr>
                <w:rFonts w:ascii="Arial" w:eastAsia="Times New Roman" w:hAnsi="Arial" w:cs="Arial"/>
                <w:b/>
                <w:bCs/>
                <w:color w:val="000000"/>
              </w:rPr>
              <w:t>2024</w:t>
            </w:r>
          </w:p>
        </w:tc>
        <w:tc>
          <w:tcPr>
            <w:tcW w:w="925" w:type="dxa"/>
            <w:tcBorders>
              <w:top w:val="single" w:sz="4" w:space="0" w:color="auto"/>
              <w:left w:val="nil"/>
              <w:bottom w:val="single" w:sz="4" w:space="0" w:color="auto"/>
              <w:right w:val="single" w:sz="4" w:space="0" w:color="auto"/>
            </w:tcBorders>
            <w:noWrap/>
            <w:vAlign w:val="center"/>
            <w:hideMark/>
          </w:tcPr>
          <w:p w14:paraId="51063C2A" w14:textId="77777777" w:rsidR="00576474" w:rsidRPr="00671C98" w:rsidRDefault="00576474" w:rsidP="00B109C7">
            <w:pPr>
              <w:spacing w:before="0" w:after="0" w:line="240" w:lineRule="auto"/>
              <w:jc w:val="center"/>
              <w:rPr>
                <w:rFonts w:ascii="Arial" w:eastAsia="Times New Roman" w:hAnsi="Arial" w:cs="Arial"/>
                <w:b/>
                <w:bCs/>
                <w:color w:val="000000"/>
              </w:rPr>
            </w:pPr>
            <w:r w:rsidRPr="00671C98">
              <w:rPr>
                <w:rFonts w:ascii="Arial" w:eastAsia="Times New Roman" w:hAnsi="Arial" w:cs="Arial"/>
                <w:b/>
                <w:bCs/>
                <w:color w:val="000000"/>
              </w:rPr>
              <w:t>2025</w:t>
            </w:r>
          </w:p>
        </w:tc>
        <w:tc>
          <w:tcPr>
            <w:tcW w:w="1100" w:type="dxa"/>
            <w:tcBorders>
              <w:top w:val="single" w:sz="4" w:space="0" w:color="auto"/>
              <w:left w:val="nil"/>
              <w:bottom w:val="single" w:sz="4" w:space="0" w:color="auto"/>
              <w:right w:val="single" w:sz="4" w:space="0" w:color="auto"/>
            </w:tcBorders>
            <w:noWrap/>
            <w:vAlign w:val="center"/>
            <w:hideMark/>
          </w:tcPr>
          <w:p w14:paraId="773F0181" w14:textId="77777777" w:rsidR="00576474" w:rsidRPr="00671C98" w:rsidRDefault="00576474" w:rsidP="00B109C7">
            <w:pPr>
              <w:spacing w:before="0" w:after="0" w:line="240" w:lineRule="auto"/>
              <w:jc w:val="center"/>
              <w:rPr>
                <w:rFonts w:ascii="Arial" w:eastAsia="Times New Roman" w:hAnsi="Arial" w:cs="Arial"/>
                <w:b/>
                <w:bCs/>
                <w:color w:val="000000"/>
              </w:rPr>
            </w:pPr>
            <w:r w:rsidRPr="00671C98">
              <w:rPr>
                <w:rFonts w:ascii="Arial" w:eastAsia="Times New Roman" w:hAnsi="Arial" w:cs="Arial"/>
                <w:b/>
                <w:bCs/>
                <w:color w:val="000000"/>
              </w:rPr>
              <w:t>2026</w:t>
            </w:r>
          </w:p>
        </w:tc>
      </w:tr>
      <w:tr w:rsidR="00576474" w:rsidRPr="00671C98" w14:paraId="0FD8A6F6" w14:textId="77777777" w:rsidTr="381FBA0D">
        <w:trPr>
          <w:cantSplit/>
          <w:trHeight w:val="300"/>
          <w:jc w:val="center"/>
        </w:trPr>
        <w:tc>
          <w:tcPr>
            <w:tcW w:w="2080" w:type="dxa"/>
            <w:tcBorders>
              <w:top w:val="nil"/>
              <w:left w:val="single" w:sz="4" w:space="0" w:color="auto"/>
              <w:bottom w:val="single" w:sz="4" w:space="0" w:color="auto"/>
              <w:right w:val="single" w:sz="4" w:space="0" w:color="auto"/>
            </w:tcBorders>
            <w:noWrap/>
            <w:vAlign w:val="bottom"/>
            <w:hideMark/>
          </w:tcPr>
          <w:p w14:paraId="2322E4A3" w14:textId="77777777" w:rsidR="00576474" w:rsidRPr="00671C98" w:rsidRDefault="00576474" w:rsidP="00576474">
            <w:pPr>
              <w:spacing w:before="0" w:after="0" w:line="240" w:lineRule="auto"/>
              <w:rPr>
                <w:rFonts w:ascii="Arial" w:eastAsia="Times New Roman" w:hAnsi="Arial" w:cs="Arial"/>
                <w:color w:val="000000"/>
              </w:rPr>
            </w:pPr>
            <w:r w:rsidRPr="00671C98">
              <w:rPr>
                <w:rFonts w:ascii="Arial" w:eastAsia="Times New Roman" w:hAnsi="Arial" w:cs="Arial"/>
                <w:color w:val="000000"/>
              </w:rPr>
              <w:t>Medical Episode</w:t>
            </w:r>
          </w:p>
        </w:tc>
        <w:tc>
          <w:tcPr>
            <w:tcW w:w="1100" w:type="dxa"/>
            <w:tcBorders>
              <w:top w:val="nil"/>
              <w:left w:val="nil"/>
              <w:bottom w:val="single" w:sz="4" w:space="0" w:color="auto"/>
              <w:right w:val="single" w:sz="4" w:space="0" w:color="auto"/>
            </w:tcBorders>
            <w:shd w:val="clear" w:color="auto" w:fill="DAF2D0"/>
            <w:noWrap/>
            <w:vAlign w:val="center"/>
            <w:hideMark/>
          </w:tcPr>
          <w:p w14:paraId="0CA9F55E"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X</w:t>
            </w:r>
          </w:p>
        </w:tc>
        <w:tc>
          <w:tcPr>
            <w:tcW w:w="1230" w:type="dxa"/>
            <w:tcBorders>
              <w:top w:val="nil"/>
              <w:left w:val="nil"/>
              <w:bottom w:val="single" w:sz="4" w:space="0" w:color="auto"/>
              <w:right w:val="single" w:sz="4" w:space="0" w:color="auto"/>
            </w:tcBorders>
            <w:shd w:val="clear" w:color="auto" w:fill="DAF2D0"/>
            <w:noWrap/>
            <w:vAlign w:val="center"/>
            <w:hideMark/>
          </w:tcPr>
          <w:p w14:paraId="6F36DACE" w14:textId="79BCAA1A" w:rsidR="00576474" w:rsidRPr="00671C98" w:rsidRDefault="00576474" w:rsidP="00B109C7">
            <w:pPr>
              <w:spacing w:before="0" w:after="0" w:line="240" w:lineRule="auto"/>
              <w:jc w:val="center"/>
              <w:rPr>
                <w:rFonts w:ascii="Arial" w:eastAsia="Times New Roman" w:hAnsi="Arial" w:cs="Arial"/>
                <w:color w:val="000000"/>
              </w:rPr>
            </w:pPr>
          </w:p>
        </w:tc>
        <w:tc>
          <w:tcPr>
            <w:tcW w:w="1145" w:type="dxa"/>
            <w:tcBorders>
              <w:top w:val="nil"/>
              <w:left w:val="nil"/>
              <w:bottom w:val="single" w:sz="4" w:space="0" w:color="auto"/>
              <w:right w:val="single" w:sz="4" w:space="0" w:color="auto"/>
            </w:tcBorders>
            <w:shd w:val="clear" w:color="auto" w:fill="DAF2D0"/>
            <w:noWrap/>
            <w:vAlign w:val="center"/>
            <w:hideMark/>
          </w:tcPr>
          <w:p w14:paraId="267511DD" w14:textId="55D69151" w:rsidR="00576474" w:rsidRPr="00671C98" w:rsidRDefault="00576474" w:rsidP="00B109C7">
            <w:pPr>
              <w:spacing w:before="0" w:after="0" w:line="240" w:lineRule="auto"/>
              <w:jc w:val="center"/>
              <w:rPr>
                <w:rFonts w:ascii="Arial" w:eastAsia="Times New Roman" w:hAnsi="Arial" w:cs="Arial"/>
                <w:color w:val="000000"/>
              </w:rPr>
            </w:pPr>
          </w:p>
        </w:tc>
        <w:tc>
          <w:tcPr>
            <w:tcW w:w="925" w:type="dxa"/>
            <w:tcBorders>
              <w:top w:val="nil"/>
              <w:left w:val="nil"/>
              <w:bottom w:val="single" w:sz="4" w:space="0" w:color="auto"/>
              <w:right w:val="single" w:sz="4" w:space="0" w:color="auto"/>
            </w:tcBorders>
            <w:noWrap/>
            <w:vAlign w:val="center"/>
            <w:hideMark/>
          </w:tcPr>
          <w:p w14:paraId="743B1D07" w14:textId="2391C398" w:rsidR="00576474" w:rsidRPr="00671C98" w:rsidRDefault="00576474" w:rsidP="00B109C7">
            <w:pPr>
              <w:spacing w:before="0" w:after="0" w:line="240" w:lineRule="auto"/>
              <w:jc w:val="center"/>
              <w:rPr>
                <w:rFonts w:ascii="Arial" w:eastAsia="Times New Roman" w:hAnsi="Arial" w:cs="Arial"/>
                <w:color w:val="000000"/>
              </w:rPr>
            </w:pPr>
          </w:p>
        </w:tc>
        <w:tc>
          <w:tcPr>
            <w:tcW w:w="1100" w:type="dxa"/>
            <w:tcBorders>
              <w:top w:val="nil"/>
              <w:left w:val="nil"/>
              <w:bottom w:val="single" w:sz="4" w:space="0" w:color="auto"/>
              <w:right w:val="single" w:sz="4" w:space="0" w:color="auto"/>
            </w:tcBorders>
            <w:noWrap/>
            <w:vAlign w:val="center"/>
            <w:hideMark/>
          </w:tcPr>
          <w:p w14:paraId="1AD59C44" w14:textId="2A0958AA" w:rsidR="00576474" w:rsidRPr="00671C98" w:rsidRDefault="00576474" w:rsidP="00B109C7">
            <w:pPr>
              <w:spacing w:before="0" w:after="0" w:line="240" w:lineRule="auto"/>
              <w:jc w:val="center"/>
              <w:rPr>
                <w:rFonts w:ascii="Arial" w:eastAsia="Times New Roman" w:hAnsi="Arial" w:cs="Arial"/>
                <w:color w:val="000000"/>
              </w:rPr>
            </w:pPr>
          </w:p>
        </w:tc>
      </w:tr>
      <w:tr w:rsidR="00576474" w:rsidRPr="00671C98" w14:paraId="12D54B8C" w14:textId="77777777" w:rsidTr="381FBA0D">
        <w:trPr>
          <w:cantSplit/>
          <w:trHeight w:val="300"/>
          <w:jc w:val="center"/>
        </w:trPr>
        <w:tc>
          <w:tcPr>
            <w:tcW w:w="2080" w:type="dxa"/>
            <w:tcBorders>
              <w:top w:val="nil"/>
              <w:left w:val="single" w:sz="4" w:space="0" w:color="auto"/>
              <w:bottom w:val="single" w:sz="4" w:space="0" w:color="auto"/>
              <w:right w:val="single" w:sz="4" w:space="0" w:color="auto"/>
            </w:tcBorders>
            <w:noWrap/>
            <w:vAlign w:val="bottom"/>
            <w:hideMark/>
          </w:tcPr>
          <w:p w14:paraId="0589DF12" w14:textId="77777777" w:rsidR="00576474" w:rsidRPr="00671C98" w:rsidRDefault="00576474" w:rsidP="00576474">
            <w:pPr>
              <w:spacing w:before="0" w:after="0" w:line="240" w:lineRule="auto"/>
              <w:rPr>
                <w:rFonts w:ascii="Arial" w:eastAsia="Times New Roman" w:hAnsi="Arial" w:cs="Arial"/>
                <w:color w:val="000000"/>
              </w:rPr>
            </w:pPr>
            <w:r w:rsidRPr="00671C98">
              <w:rPr>
                <w:rFonts w:ascii="Arial" w:eastAsia="Times New Roman" w:hAnsi="Arial" w:cs="Arial"/>
                <w:color w:val="000000"/>
              </w:rPr>
              <w:t>Beh. Health Episode</w:t>
            </w:r>
          </w:p>
        </w:tc>
        <w:tc>
          <w:tcPr>
            <w:tcW w:w="1100" w:type="dxa"/>
            <w:tcBorders>
              <w:top w:val="nil"/>
              <w:left w:val="nil"/>
              <w:bottom w:val="single" w:sz="4" w:space="0" w:color="auto"/>
              <w:right w:val="single" w:sz="4" w:space="0" w:color="auto"/>
            </w:tcBorders>
            <w:noWrap/>
            <w:vAlign w:val="center"/>
            <w:hideMark/>
          </w:tcPr>
          <w:p w14:paraId="153F75C1" w14:textId="439B3F4F" w:rsidR="00576474" w:rsidRPr="00671C98" w:rsidRDefault="00576474" w:rsidP="00B109C7">
            <w:pPr>
              <w:spacing w:before="0" w:after="0" w:line="240" w:lineRule="auto"/>
              <w:jc w:val="center"/>
              <w:rPr>
                <w:rFonts w:ascii="Arial" w:eastAsia="Times New Roman" w:hAnsi="Arial" w:cs="Arial"/>
                <w:color w:val="000000"/>
              </w:rPr>
            </w:pPr>
          </w:p>
        </w:tc>
        <w:tc>
          <w:tcPr>
            <w:tcW w:w="1230" w:type="dxa"/>
            <w:tcBorders>
              <w:top w:val="nil"/>
              <w:left w:val="nil"/>
              <w:bottom w:val="single" w:sz="4" w:space="0" w:color="auto"/>
              <w:right w:val="single" w:sz="4" w:space="0" w:color="auto"/>
            </w:tcBorders>
            <w:shd w:val="clear" w:color="auto" w:fill="FBE2D5"/>
            <w:noWrap/>
            <w:vAlign w:val="center"/>
            <w:hideMark/>
          </w:tcPr>
          <w:p w14:paraId="3E953A24"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X</w:t>
            </w:r>
          </w:p>
        </w:tc>
        <w:tc>
          <w:tcPr>
            <w:tcW w:w="1145" w:type="dxa"/>
            <w:tcBorders>
              <w:top w:val="nil"/>
              <w:left w:val="nil"/>
              <w:bottom w:val="single" w:sz="4" w:space="0" w:color="auto"/>
              <w:right w:val="single" w:sz="4" w:space="0" w:color="auto"/>
            </w:tcBorders>
            <w:shd w:val="clear" w:color="auto" w:fill="FBE2D5"/>
            <w:noWrap/>
            <w:vAlign w:val="center"/>
            <w:hideMark/>
          </w:tcPr>
          <w:p w14:paraId="7DE4466C" w14:textId="35D89377" w:rsidR="00576474" w:rsidRPr="00671C98" w:rsidRDefault="00576474" w:rsidP="00B109C7">
            <w:pPr>
              <w:spacing w:before="0" w:after="0" w:line="240" w:lineRule="auto"/>
              <w:jc w:val="center"/>
              <w:rPr>
                <w:rFonts w:ascii="Arial" w:eastAsia="Times New Roman" w:hAnsi="Arial" w:cs="Arial"/>
                <w:color w:val="000000"/>
              </w:rPr>
            </w:pPr>
          </w:p>
        </w:tc>
        <w:tc>
          <w:tcPr>
            <w:tcW w:w="925" w:type="dxa"/>
            <w:tcBorders>
              <w:top w:val="nil"/>
              <w:left w:val="nil"/>
              <w:bottom w:val="single" w:sz="4" w:space="0" w:color="auto"/>
              <w:right w:val="single" w:sz="4" w:space="0" w:color="auto"/>
            </w:tcBorders>
            <w:shd w:val="clear" w:color="auto" w:fill="FBE2D5"/>
            <w:noWrap/>
            <w:vAlign w:val="center"/>
            <w:hideMark/>
          </w:tcPr>
          <w:p w14:paraId="396EAB26" w14:textId="509E06EF" w:rsidR="00576474" w:rsidRPr="00671C98" w:rsidRDefault="00576474" w:rsidP="00B109C7">
            <w:pPr>
              <w:spacing w:before="0" w:after="0" w:line="240" w:lineRule="auto"/>
              <w:jc w:val="center"/>
              <w:rPr>
                <w:rFonts w:ascii="Arial" w:eastAsia="Times New Roman" w:hAnsi="Arial" w:cs="Arial"/>
                <w:color w:val="000000"/>
              </w:rPr>
            </w:pPr>
          </w:p>
        </w:tc>
        <w:tc>
          <w:tcPr>
            <w:tcW w:w="1100" w:type="dxa"/>
            <w:tcBorders>
              <w:top w:val="nil"/>
              <w:left w:val="nil"/>
              <w:bottom w:val="single" w:sz="4" w:space="0" w:color="auto"/>
              <w:right w:val="single" w:sz="4" w:space="0" w:color="auto"/>
            </w:tcBorders>
            <w:noWrap/>
            <w:vAlign w:val="center"/>
            <w:hideMark/>
          </w:tcPr>
          <w:p w14:paraId="65A8ABD7" w14:textId="597CDC55" w:rsidR="00576474" w:rsidRPr="00671C98" w:rsidRDefault="00576474" w:rsidP="00B109C7">
            <w:pPr>
              <w:spacing w:before="0" w:after="0" w:line="240" w:lineRule="auto"/>
              <w:jc w:val="center"/>
              <w:rPr>
                <w:rFonts w:ascii="Arial" w:eastAsia="Times New Roman" w:hAnsi="Arial" w:cs="Arial"/>
                <w:color w:val="000000"/>
              </w:rPr>
            </w:pPr>
          </w:p>
        </w:tc>
      </w:tr>
      <w:tr w:rsidR="00576474" w:rsidRPr="00671C98" w14:paraId="0144AAF7" w14:textId="77777777" w:rsidTr="381FBA0D">
        <w:trPr>
          <w:cantSplit/>
          <w:trHeight w:val="600"/>
          <w:jc w:val="center"/>
        </w:trPr>
        <w:tc>
          <w:tcPr>
            <w:tcW w:w="2080" w:type="dxa"/>
            <w:tcBorders>
              <w:top w:val="nil"/>
              <w:left w:val="single" w:sz="4" w:space="0" w:color="auto"/>
              <w:bottom w:val="single" w:sz="4" w:space="0" w:color="auto"/>
              <w:right w:val="single" w:sz="4" w:space="0" w:color="auto"/>
            </w:tcBorders>
            <w:vAlign w:val="bottom"/>
            <w:hideMark/>
          </w:tcPr>
          <w:p w14:paraId="1BBFF7AE" w14:textId="77777777" w:rsidR="00576474" w:rsidRPr="00671C98" w:rsidRDefault="00576474" w:rsidP="00576474">
            <w:pPr>
              <w:spacing w:before="0" w:after="0" w:line="240" w:lineRule="auto"/>
              <w:rPr>
                <w:rFonts w:ascii="Arial" w:eastAsia="Times New Roman" w:hAnsi="Arial" w:cs="Arial"/>
                <w:color w:val="000000"/>
              </w:rPr>
            </w:pPr>
            <w:r w:rsidRPr="00671C98">
              <w:rPr>
                <w:rFonts w:ascii="Arial" w:eastAsia="Times New Roman" w:hAnsi="Arial" w:cs="Arial"/>
                <w:color w:val="000000"/>
              </w:rPr>
              <w:t>Chronic Condition Group</w:t>
            </w:r>
          </w:p>
        </w:tc>
        <w:tc>
          <w:tcPr>
            <w:tcW w:w="1100" w:type="dxa"/>
            <w:tcBorders>
              <w:top w:val="nil"/>
              <w:left w:val="nil"/>
              <w:bottom w:val="single" w:sz="4" w:space="0" w:color="auto"/>
              <w:right w:val="single" w:sz="4" w:space="0" w:color="auto"/>
            </w:tcBorders>
            <w:noWrap/>
            <w:vAlign w:val="center"/>
            <w:hideMark/>
          </w:tcPr>
          <w:p w14:paraId="2E8D7C12"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Medical</w:t>
            </w:r>
          </w:p>
        </w:tc>
        <w:tc>
          <w:tcPr>
            <w:tcW w:w="1230" w:type="dxa"/>
            <w:tcBorders>
              <w:top w:val="nil"/>
              <w:left w:val="nil"/>
              <w:bottom w:val="single" w:sz="4" w:space="0" w:color="auto"/>
              <w:right w:val="single" w:sz="4" w:space="0" w:color="auto"/>
            </w:tcBorders>
            <w:vAlign w:val="center"/>
            <w:hideMark/>
          </w:tcPr>
          <w:p w14:paraId="04DD7850"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 xml:space="preserve">Medical &amp; Beh. </w:t>
            </w:r>
            <w:proofErr w:type="spellStart"/>
            <w:r w:rsidRPr="00671C98">
              <w:rPr>
                <w:rFonts w:ascii="Arial" w:eastAsia="Times New Roman" w:hAnsi="Arial" w:cs="Arial"/>
                <w:color w:val="000000"/>
              </w:rPr>
              <w:t>Hlth</w:t>
            </w:r>
            <w:proofErr w:type="spellEnd"/>
          </w:p>
        </w:tc>
        <w:tc>
          <w:tcPr>
            <w:tcW w:w="1145" w:type="dxa"/>
            <w:tcBorders>
              <w:top w:val="nil"/>
              <w:left w:val="nil"/>
              <w:bottom w:val="single" w:sz="4" w:space="0" w:color="auto"/>
              <w:right w:val="single" w:sz="4" w:space="0" w:color="auto"/>
            </w:tcBorders>
            <w:vAlign w:val="center"/>
            <w:hideMark/>
          </w:tcPr>
          <w:p w14:paraId="3F5D4A43"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 xml:space="preserve">Medical &amp; Beh. </w:t>
            </w:r>
            <w:proofErr w:type="spellStart"/>
            <w:r w:rsidRPr="00671C98">
              <w:rPr>
                <w:rFonts w:ascii="Arial" w:eastAsia="Times New Roman" w:hAnsi="Arial" w:cs="Arial"/>
                <w:color w:val="000000"/>
              </w:rPr>
              <w:t>Hlth</w:t>
            </w:r>
            <w:proofErr w:type="spellEnd"/>
          </w:p>
        </w:tc>
        <w:tc>
          <w:tcPr>
            <w:tcW w:w="925" w:type="dxa"/>
            <w:tcBorders>
              <w:top w:val="nil"/>
              <w:left w:val="nil"/>
              <w:bottom w:val="single" w:sz="4" w:space="0" w:color="auto"/>
              <w:right w:val="single" w:sz="4" w:space="0" w:color="auto"/>
            </w:tcBorders>
            <w:vAlign w:val="center"/>
            <w:hideMark/>
          </w:tcPr>
          <w:p w14:paraId="78F6C4D4" w14:textId="77777777" w:rsidR="00576474" w:rsidRPr="00671C98" w:rsidRDefault="00576474" w:rsidP="00B109C7">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 xml:space="preserve">Beh. </w:t>
            </w:r>
            <w:proofErr w:type="spellStart"/>
            <w:r w:rsidRPr="00671C98">
              <w:rPr>
                <w:rFonts w:ascii="Arial" w:eastAsia="Times New Roman" w:hAnsi="Arial" w:cs="Arial"/>
                <w:color w:val="000000"/>
              </w:rPr>
              <w:t>Hlth</w:t>
            </w:r>
            <w:proofErr w:type="spellEnd"/>
          </w:p>
        </w:tc>
        <w:tc>
          <w:tcPr>
            <w:tcW w:w="1100" w:type="dxa"/>
            <w:tcBorders>
              <w:top w:val="nil"/>
              <w:left w:val="nil"/>
              <w:bottom w:val="single" w:sz="4" w:space="0" w:color="auto"/>
              <w:right w:val="single" w:sz="4" w:space="0" w:color="auto"/>
            </w:tcBorders>
            <w:vAlign w:val="center"/>
            <w:hideMark/>
          </w:tcPr>
          <w:p w14:paraId="2DE9E6B6" w14:textId="104A73CD" w:rsidR="00A824D6" w:rsidRPr="00671C98" w:rsidRDefault="00A824D6" w:rsidP="00A824D6">
            <w:pPr>
              <w:spacing w:before="0" w:after="0" w:line="240" w:lineRule="auto"/>
              <w:jc w:val="center"/>
              <w:rPr>
                <w:rFonts w:ascii="Arial" w:eastAsia="Times New Roman" w:hAnsi="Arial" w:cs="Arial"/>
                <w:color w:val="000000"/>
              </w:rPr>
            </w:pPr>
            <w:r w:rsidRPr="00671C98">
              <w:rPr>
                <w:rFonts w:ascii="Arial" w:eastAsia="Times New Roman" w:hAnsi="Arial" w:cs="Arial"/>
                <w:color w:val="000000"/>
              </w:rPr>
              <w:t>None</w:t>
            </w:r>
          </w:p>
        </w:tc>
      </w:tr>
    </w:tbl>
    <w:p w14:paraId="1803BFE6" w14:textId="77777777" w:rsidR="00F77BE0" w:rsidRDefault="00F77BE0" w:rsidP="00672FA6">
      <w:pPr>
        <w:spacing w:before="0" w:after="0" w:line="240" w:lineRule="auto"/>
        <w:rPr>
          <w:rFonts w:ascii="Arial" w:eastAsia="Arial" w:hAnsi="Arial" w:cs="Arial"/>
          <w:sz w:val="22"/>
          <w:szCs w:val="22"/>
        </w:rPr>
      </w:pPr>
    </w:p>
    <w:p w14:paraId="11835519" w14:textId="316C04DF" w:rsidR="00672FA6" w:rsidRPr="00F16A6D" w:rsidRDefault="00672FA6" w:rsidP="00672FA6">
      <w:pPr>
        <w:spacing w:before="0" w:after="0" w:line="240" w:lineRule="auto"/>
        <w:rPr>
          <w:rFonts w:ascii="Arial" w:eastAsia="Arial" w:hAnsi="Arial" w:cs="Arial"/>
          <w:sz w:val="22"/>
          <w:szCs w:val="22"/>
        </w:rPr>
      </w:pPr>
      <w:r w:rsidRPr="00F16A6D">
        <w:rPr>
          <w:rFonts w:ascii="Arial" w:eastAsia="Arial" w:hAnsi="Arial" w:cs="Arial"/>
          <w:sz w:val="22"/>
          <w:szCs w:val="22"/>
        </w:rPr>
        <w:t xml:space="preserve">The lookback is two years prior to the report year. A chronic episode in any of those three years can place members into one of the chronic condition populations. The shaded areas are the report years affected by the episode. </w:t>
      </w:r>
    </w:p>
    <w:p w14:paraId="45B877B1" w14:textId="291F821E" w:rsidR="00441F28" w:rsidRDefault="00441F28" w:rsidP="041483CB">
      <w:pPr>
        <w:spacing w:before="0" w:after="0" w:line="240" w:lineRule="auto"/>
        <w:rPr>
          <w:rFonts w:ascii="Arial" w:eastAsia="Arial" w:hAnsi="Arial" w:cs="Arial"/>
        </w:rPr>
      </w:pPr>
    </w:p>
    <w:p w14:paraId="67A5D190" w14:textId="77777777" w:rsidR="000F50D2" w:rsidRDefault="000F50D2" w:rsidP="041483CB">
      <w:pPr>
        <w:spacing w:before="0" w:after="0" w:line="240" w:lineRule="auto"/>
        <w:rPr>
          <w:rFonts w:ascii="Arial" w:eastAsia="Arial" w:hAnsi="Arial" w:cs="Arial"/>
        </w:rPr>
      </w:pPr>
    </w:p>
    <w:p w14:paraId="53D03A81" w14:textId="39E19B27" w:rsidR="000F50D2" w:rsidRPr="007728FF" w:rsidRDefault="00E804A2" w:rsidP="00E804A2">
      <w:pPr>
        <w:pStyle w:val="Heading2"/>
        <w:rPr>
          <w:rFonts w:ascii="Arial" w:hAnsi="Arial" w:cs="Arial"/>
          <w:sz w:val="24"/>
          <w:szCs w:val="24"/>
        </w:rPr>
      </w:pPr>
      <w:r w:rsidRPr="007728FF">
        <w:rPr>
          <w:rFonts w:ascii="Arial" w:hAnsi="Arial" w:cs="Arial"/>
          <w:sz w:val="24"/>
          <w:szCs w:val="24"/>
        </w:rPr>
        <w:t>episodes of care</w:t>
      </w:r>
    </w:p>
    <w:p w14:paraId="74E8B2F7" w14:textId="77777777" w:rsidR="00A21D58" w:rsidRDefault="00A21D58" w:rsidP="041483CB">
      <w:pPr>
        <w:spacing w:before="0" w:after="0" w:line="240" w:lineRule="auto"/>
        <w:rPr>
          <w:rFonts w:ascii="Arial" w:eastAsia="Arial" w:hAnsi="Arial" w:cs="Arial"/>
        </w:rPr>
      </w:pPr>
    </w:p>
    <w:p w14:paraId="531C4B08" w14:textId="066B76DC" w:rsidR="00BA2A4C" w:rsidRPr="00F77BE0" w:rsidRDefault="00675BCC" w:rsidP="28AC7C9D">
      <w:pPr>
        <w:spacing w:before="0" w:after="0" w:line="240" w:lineRule="auto"/>
        <w:rPr>
          <w:rFonts w:ascii="Arial" w:eastAsia="Arial" w:hAnsi="Arial" w:cs="Arial"/>
          <w:sz w:val="22"/>
          <w:szCs w:val="22"/>
        </w:rPr>
      </w:pPr>
      <w:r w:rsidRPr="6E8B322F">
        <w:rPr>
          <w:rFonts w:ascii="Arial" w:eastAsia="Arial" w:hAnsi="Arial" w:cs="Arial"/>
          <w:sz w:val="22"/>
          <w:szCs w:val="22"/>
        </w:rPr>
        <w:t xml:space="preserve">Episodes of care are used in the development of </w:t>
      </w:r>
      <w:r w:rsidR="002E7488" w:rsidRPr="6E8B322F">
        <w:rPr>
          <w:rFonts w:ascii="Arial" w:eastAsia="Arial" w:hAnsi="Arial" w:cs="Arial"/>
          <w:sz w:val="22"/>
          <w:szCs w:val="22"/>
        </w:rPr>
        <w:t xml:space="preserve">chronic health population groups in the report. </w:t>
      </w:r>
      <w:r w:rsidR="00120DBE" w:rsidRPr="6E8B322F">
        <w:rPr>
          <w:rFonts w:ascii="Arial" w:eastAsia="Arial" w:hAnsi="Arial" w:cs="Arial"/>
          <w:sz w:val="22"/>
          <w:szCs w:val="22"/>
        </w:rPr>
        <w:t xml:space="preserve">The Truven Medical Episode Grouper (MEG) is a proprietary episode grouping methodology created by Covered California’s Healthcare Evidence Initiative database vendor. Health conditions are classified as chronic within the grouper by major diagnostic category. </w:t>
      </w:r>
    </w:p>
    <w:p w14:paraId="614305F2" w14:textId="77777777" w:rsidR="0075142F" w:rsidRPr="00F77BE0" w:rsidRDefault="0075142F" w:rsidP="00F77BE0">
      <w:pPr>
        <w:spacing w:before="0" w:after="0" w:line="240" w:lineRule="auto"/>
        <w:rPr>
          <w:rFonts w:ascii="Arial" w:eastAsia="Arial" w:hAnsi="Arial" w:cs="Arial"/>
          <w:sz w:val="22"/>
        </w:rPr>
      </w:pPr>
    </w:p>
    <w:p w14:paraId="5058EB1A" w14:textId="77777777" w:rsidR="0075142F" w:rsidRPr="0075142F" w:rsidRDefault="0075142F" w:rsidP="00F77BE0">
      <w:pPr>
        <w:spacing w:before="0" w:after="0" w:line="240" w:lineRule="auto"/>
        <w:rPr>
          <w:rFonts w:ascii="Arial" w:eastAsia="Arial" w:hAnsi="Arial" w:cs="Arial"/>
          <w:sz w:val="22"/>
        </w:rPr>
      </w:pPr>
      <w:r w:rsidRPr="0075142F">
        <w:rPr>
          <w:rFonts w:ascii="Arial" w:eastAsia="Arial" w:hAnsi="Arial" w:cs="Arial"/>
          <w:sz w:val="22"/>
        </w:rPr>
        <w:t>An episode of care is:</w:t>
      </w:r>
    </w:p>
    <w:p w14:paraId="7E402EC4" w14:textId="77777777" w:rsidR="0075142F" w:rsidRPr="00F77BE0" w:rsidRDefault="0075142F" w:rsidP="00F77BE0">
      <w:pPr>
        <w:pStyle w:val="ListParagraph"/>
        <w:numPr>
          <w:ilvl w:val="0"/>
          <w:numId w:val="28"/>
        </w:numPr>
        <w:spacing w:before="0" w:after="0" w:line="240" w:lineRule="auto"/>
        <w:rPr>
          <w:rFonts w:ascii="Arial" w:eastAsia="Arial" w:hAnsi="Arial" w:cs="Arial"/>
          <w:sz w:val="22"/>
        </w:rPr>
      </w:pPr>
      <w:r w:rsidRPr="00F77BE0">
        <w:rPr>
          <w:rFonts w:ascii="Arial" w:eastAsia="Arial" w:hAnsi="Arial" w:cs="Arial"/>
          <w:sz w:val="22"/>
        </w:rPr>
        <w:t>A summary of the care related to a given occurrence of a condition or disease for a particular patient</w:t>
      </w:r>
    </w:p>
    <w:p w14:paraId="7F4F0BBC" w14:textId="77777777" w:rsidR="0075142F" w:rsidRPr="00F77BE0" w:rsidRDefault="0075142F" w:rsidP="00F77BE0">
      <w:pPr>
        <w:pStyle w:val="ListParagraph"/>
        <w:numPr>
          <w:ilvl w:val="0"/>
          <w:numId w:val="28"/>
        </w:numPr>
        <w:spacing w:before="0" w:after="0" w:line="240" w:lineRule="auto"/>
        <w:rPr>
          <w:rFonts w:ascii="Arial" w:eastAsia="Arial" w:hAnsi="Arial" w:cs="Arial"/>
          <w:sz w:val="22"/>
        </w:rPr>
      </w:pPr>
      <w:r w:rsidRPr="00F77BE0">
        <w:rPr>
          <w:rFonts w:ascii="Arial" w:eastAsia="Arial" w:hAnsi="Arial" w:cs="Arial"/>
          <w:sz w:val="22"/>
        </w:rPr>
        <w:t>A combination of inpatient, outpatient, and prescription drug treatment for that condition</w:t>
      </w:r>
    </w:p>
    <w:p w14:paraId="1682394A" w14:textId="421F4B87" w:rsidR="0075142F" w:rsidRPr="00F77BE0" w:rsidRDefault="0075142F" w:rsidP="00F77BE0">
      <w:pPr>
        <w:pStyle w:val="ListParagraph"/>
        <w:numPr>
          <w:ilvl w:val="0"/>
          <w:numId w:val="28"/>
        </w:numPr>
        <w:spacing w:before="0" w:after="0" w:line="240" w:lineRule="auto"/>
        <w:rPr>
          <w:rFonts w:ascii="Arial" w:eastAsia="Arial" w:hAnsi="Arial" w:cs="Arial"/>
          <w:sz w:val="22"/>
        </w:rPr>
      </w:pPr>
      <w:r w:rsidRPr="00F77BE0">
        <w:rPr>
          <w:rFonts w:ascii="Arial" w:eastAsia="Arial" w:hAnsi="Arial" w:cs="Arial"/>
          <w:sz w:val="22"/>
        </w:rPr>
        <w:t>Triggered by the first encounter with</w:t>
      </w:r>
      <w:r w:rsidR="00DD351C" w:rsidRPr="00F77BE0">
        <w:rPr>
          <w:rFonts w:ascii="Arial" w:eastAsia="Arial" w:hAnsi="Arial" w:cs="Arial"/>
          <w:sz w:val="22"/>
        </w:rPr>
        <w:t xml:space="preserve"> a</w:t>
      </w:r>
      <w:r w:rsidRPr="00F77BE0">
        <w:rPr>
          <w:rFonts w:ascii="Arial" w:eastAsia="Arial" w:hAnsi="Arial" w:cs="Arial"/>
          <w:sz w:val="22"/>
        </w:rPr>
        <w:t xml:space="preserve"> health</w:t>
      </w:r>
      <w:r w:rsidR="003A736C">
        <w:rPr>
          <w:rFonts w:ascii="Arial" w:eastAsia="Arial" w:hAnsi="Arial" w:cs="Arial"/>
          <w:sz w:val="22"/>
        </w:rPr>
        <w:t xml:space="preserve"> </w:t>
      </w:r>
      <w:r w:rsidRPr="00F77BE0">
        <w:rPr>
          <w:rFonts w:ascii="Arial" w:eastAsia="Arial" w:hAnsi="Arial" w:cs="Arial"/>
          <w:sz w:val="22"/>
        </w:rPr>
        <w:t xml:space="preserve">care </w:t>
      </w:r>
      <w:r w:rsidR="001A0D37" w:rsidRPr="00F77BE0">
        <w:rPr>
          <w:rFonts w:ascii="Arial" w:eastAsia="Arial" w:hAnsi="Arial" w:cs="Arial"/>
          <w:sz w:val="22"/>
        </w:rPr>
        <w:t>provider (not a</w:t>
      </w:r>
      <w:r w:rsidR="00036F4F" w:rsidRPr="00F77BE0">
        <w:rPr>
          <w:rFonts w:ascii="Arial" w:eastAsia="Arial" w:hAnsi="Arial" w:cs="Arial"/>
          <w:sz w:val="22"/>
        </w:rPr>
        <w:t xml:space="preserve"> pharmacy drug</w:t>
      </w:r>
      <w:r w:rsidR="001A0D37" w:rsidRPr="00F77BE0">
        <w:rPr>
          <w:rFonts w:ascii="Arial" w:eastAsia="Arial" w:hAnsi="Arial" w:cs="Arial"/>
          <w:sz w:val="22"/>
        </w:rPr>
        <w:t xml:space="preserve"> claim)</w:t>
      </w:r>
      <w:r w:rsidR="00416376" w:rsidRPr="00F77BE0">
        <w:rPr>
          <w:rFonts w:ascii="Arial" w:eastAsia="Arial" w:hAnsi="Arial" w:cs="Arial"/>
          <w:sz w:val="22"/>
        </w:rPr>
        <w:t>.</w:t>
      </w:r>
    </w:p>
    <w:p w14:paraId="38280B42" w14:textId="77777777" w:rsidR="00370C86" w:rsidRPr="00F77BE0" w:rsidRDefault="00370C86" w:rsidP="00F77BE0">
      <w:pPr>
        <w:spacing w:before="0" w:after="0" w:line="240" w:lineRule="auto"/>
        <w:rPr>
          <w:rFonts w:ascii="Arial" w:eastAsia="Arial" w:hAnsi="Arial" w:cs="Arial"/>
          <w:sz w:val="22"/>
        </w:rPr>
      </w:pPr>
    </w:p>
    <w:p w14:paraId="20D90222" w14:textId="56922BE5" w:rsidR="00957970" w:rsidRPr="00F77BE0" w:rsidRDefault="412324B4" w:rsidP="28AC7C9D">
      <w:pPr>
        <w:spacing w:before="0" w:after="0" w:line="240" w:lineRule="auto"/>
        <w:rPr>
          <w:rFonts w:ascii="Arial" w:eastAsia="Arial" w:hAnsi="Arial" w:cs="Arial"/>
          <w:sz w:val="22"/>
          <w:szCs w:val="22"/>
        </w:rPr>
      </w:pPr>
      <w:r w:rsidRPr="6E8B322F">
        <w:rPr>
          <w:rFonts w:ascii="Arial" w:eastAsia="Arial" w:hAnsi="Arial" w:cs="Arial"/>
          <w:sz w:val="22"/>
          <w:szCs w:val="22"/>
        </w:rPr>
        <w:t>Ch</w:t>
      </w:r>
      <w:r w:rsidR="00957970" w:rsidRPr="6E8B322F">
        <w:rPr>
          <w:rFonts w:ascii="Arial" w:eastAsia="Arial" w:hAnsi="Arial" w:cs="Arial"/>
          <w:sz w:val="22"/>
          <w:szCs w:val="22"/>
        </w:rPr>
        <w:t xml:space="preserve">ronic </w:t>
      </w:r>
      <w:r w:rsidR="1F7EE4FD" w:rsidRPr="6E8B322F">
        <w:rPr>
          <w:rFonts w:ascii="Arial" w:eastAsia="Arial" w:hAnsi="Arial" w:cs="Arial"/>
          <w:sz w:val="22"/>
          <w:szCs w:val="22"/>
        </w:rPr>
        <w:t>e</w:t>
      </w:r>
      <w:r w:rsidR="00957970" w:rsidRPr="6E8B322F">
        <w:rPr>
          <w:rFonts w:ascii="Arial" w:eastAsia="Arial" w:hAnsi="Arial" w:cs="Arial"/>
          <w:sz w:val="22"/>
          <w:szCs w:val="22"/>
        </w:rPr>
        <w:t>pisodes</w:t>
      </w:r>
      <w:r w:rsidR="00D60C08" w:rsidRPr="6E8B322F">
        <w:rPr>
          <w:rFonts w:ascii="Arial" w:eastAsia="Arial" w:hAnsi="Arial" w:cs="Arial"/>
          <w:sz w:val="22"/>
          <w:szCs w:val="22"/>
        </w:rPr>
        <w:t xml:space="preserve"> are i</w:t>
      </w:r>
      <w:r w:rsidR="00957970" w:rsidRPr="6E8B322F">
        <w:rPr>
          <w:rFonts w:ascii="Arial" w:eastAsia="Arial" w:hAnsi="Arial" w:cs="Arial"/>
          <w:sz w:val="22"/>
          <w:szCs w:val="22"/>
        </w:rPr>
        <w:t>dentified as issues that don’t generally resolve (e.g., diabetes) or resolve over a long period of time (e.g., cancer)</w:t>
      </w:r>
      <w:r w:rsidR="001001FF" w:rsidRPr="6E8B322F">
        <w:rPr>
          <w:rFonts w:ascii="Arial" w:eastAsia="Arial" w:hAnsi="Arial" w:cs="Arial"/>
          <w:sz w:val="22"/>
          <w:szCs w:val="22"/>
        </w:rPr>
        <w:t>.</w:t>
      </w:r>
      <w:r w:rsidR="532FBFDE" w:rsidRPr="6E8B322F">
        <w:rPr>
          <w:rFonts w:ascii="Arial" w:eastAsia="Arial" w:hAnsi="Arial" w:cs="Arial"/>
          <w:sz w:val="22"/>
          <w:szCs w:val="22"/>
        </w:rPr>
        <w:t xml:space="preserve"> </w:t>
      </w:r>
    </w:p>
    <w:p w14:paraId="750164DB" w14:textId="77777777" w:rsidR="00370C86" w:rsidRDefault="00370C86" w:rsidP="0075142F">
      <w:pPr>
        <w:spacing w:before="0" w:after="0" w:line="240" w:lineRule="auto"/>
        <w:rPr>
          <w:rFonts w:ascii="Arial" w:eastAsia="Arial" w:hAnsi="Arial" w:cs="Arial"/>
        </w:rPr>
      </w:pPr>
    </w:p>
    <w:p w14:paraId="7D815642" w14:textId="77777777" w:rsidR="00E804A2" w:rsidRDefault="00E804A2" w:rsidP="041483CB">
      <w:pPr>
        <w:spacing w:before="0" w:after="0" w:line="240" w:lineRule="auto"/>
        <w:rPr>
          <w:rFonts w:ascii="Arial" w:eastAsia="Arial" w:hAnsi="Arial" w:cs="Arial"/>
        </w:rPr>
      </w:pPr>
    </w:p>
    <w:p w14:paraId="7ABECB93" w14:textId="19AF03AC" w:rsidR="00441F28" w:rsidRPr="007728FF" w:rsidRDefault="00A21D58" w:rsidP="003401A0">
      <w:pPr>
        <w:pStyle w:val="Heading2"/>
        <w:rPr>
          <w:sz w:val="22"/>
          <w:szCs w:val="22"/>
        </w:rPr>
      </w:pPr>
      <w:proofErr w:type="gramStart"/>
      <w:r w:rsidRPr="007728FF">
        <w:rPr>
          <w:rFonts w:ascii="Arial" w:hAnsi="Arial" w:cs="Arial"/>
          <w:sz w:val="24"/>
          <w:szCs w:val="24"/>
        </w:rPr>
        <w:t>REPORT</w:t>
      </w:r>
      <w:proofErr w:type="gramEnd"/>
      <w:r w:rsidR="00005052" w:rsidRPr="007728FF">
        <w:rPr>
          <w:rFonts w:ascii="Arial" w:hAnsi="Arial" w:cs="Arial"/>
          <w:sz w:val="24"/>
          <w:szCs w:val="24"/>
        </w:rPr>
        <w:t xml:space="preserve"> METRICS</w:t>
      </w:r>
      <w:r w:rsidR="00005052" w:rsidRPr="007728FF">
        <w:rPr>
          <w:sz w:val="22"/>
          <w:szCs w:val="22"/>
        </w:rPr>
        <w:tab/>
      </w:r>
    </w:p>
    <w:p w14:paraId="182AB789" w14:textId="77777777" w:rsidR="00282C16" w:rsidRDefault="00282C16" w:rsidP="00282C16">
      <w:pPr>
        <w:spacing w:before="0" w:after="0"/>
        <w:rPr>
          <w:rFonts w:ascii="Arial" w:eastAsia="Arial" w:hAnsi="Arial" w:cs="Arial"/>
        </w:rPr>
      </w:pPr>
    </w:p>
    <w:p w14:paraId="6D489BC1" w14:textId="6A945AAF" w:rsidR="00005052" w:rsidRDefault="000A1BD1" w:rsidP="007728FF">
      <w:pPr>
        <w:spacing w:before="0" w:after="0" w:line="240" w:lineRule="auto"/>
        <w:rPr>
          <w:rFonts w:ascii="Arial" w:eastAsia="Arial" w:hAnsi="Arial" w:cs="Arial"/>
          <w:sz w:val="22"/>
          <w:szCs w:val="22"/>
        </w:rPr>
      </w:pPr>
      <w:r w:rsidRPr="381FBA0D">
        <w:rPr>
          <w:rFonts w:ascii="Arial" w:eastAsia="Arial" w:hAnsi="Arial" w:cs="Arial"/>
          <w:sz w:val="22"/>
          <w:szCs w:val="22"/>
        </w:rPr>
        <w:t>This</w:t>
      </w:r>
      <w:r w:rsidR="00005052" w:rsidRPr="381FBA0D">
        <w:rPr>
          <w:rFonts w:ascii="Arial" w:eastAsia="Arial" w:hAnsi="Arial" w:cs="Arial"/>
          <w:sz w:val="22"/>
          <w:szCs w:val="22"/>
        </w:rPr>
        <w:t xml:space="preserve"> </w:t>
      </w:r>
      <w:r w:rsidR="0046698C" w:rsidRPr="381FBA0D">
        <w:rPr>
          <w:rFonts w:ascii="Arial" w:eastAsia="Arial" w:hAnsi="Arial" w:cs="Arial"/>
          <w:sz w:val="22"/>
          <w:szCs w:val="22"/>
        </w:rPr>
        <w:t>section contains</w:t>
      </w:r>
      <w:r w:rsidR="00005052" w:rsidRPr="381FBA0D">
        <w:rPr>
          <w:rFonts w:ascii="Arial" w:eastAsia="Arial" w:hAnsi="Arial" w:cs="Arial"/>
          <w:sz w:val="22"/>
          <w:szCs w:val="22"/>
        </w:rPr>
        <w:t xml:space="preserve"> general information on the metrics used in this </w:t>
      </w:r>
      <w:r w:rsidR="000B45EF" w:rsidRPr="381FBA0D">
        <w:rPr>
          <w:rFonts w:ascii="Arial" w:eastAsia="Arial" w:hAnsi="Arial" w:cs="Arial"/>
          <w:sz w:val="22"/>
          <w:szCs w:val="22"/>
        </w:rPr>
        <w:t xml:space="preserve">report. </w:t>
      </w:r>
      <w:r w:rsidR="00D56AD2" w:rsidRPr="381FBA0D">
        <w:rPr>
          <w:rFonts w:ascii="Arial" w:eastAsia="Arial" w:hAnsi="Arial" w:cs="Arial"/>
          <w:sz w:val="22"/>
          <w:szCs w:val="22"/>
        </w:rPr>
        <w:t xml:space="preserve">There </w:t>
      </w:r>
      <w:bookmarkStart w:id="0" w:name="_Int_MEWDJnmM"/>
      <w:r w:rsidR="2FE18E9C" w:rsidRPr="381FBA0D">
        <w:rPr>
          <w:rFonts w:ascii="Arial" w:eastAsia="Arial" w:hAnsi="Arial" w:cs="Arial"/>
          <w:sz w:val="22"/>
          <w:szCs w:val="22"/>
        </w:rPr>
        <w:t>is</w:t>
      </w:r>
      <w:bookmarkEnd w:id="0"/>
      <w:r w:rsidR="00D56AD2" w:rsidRPr="381FBA0D">
        <w:rPr>
          <w:rFonts w:ascii="Arial" w:eastAsia="Arial" w:hAnsi="Arial" w:cs="Arial"/>
          <w:sz w:val="22"/>
          <w:szCs w:val="22"/>
        </w:rPr>
        <w:t xml:space="preserve"> a complete list of metrics </w:t>
      </w:r>
      <w:r w:rsidR="53309021" w:rsidRPr="381FBA0D">
        <w:rPr>
          <w:rFonts w:ascii="Arial" w:eastAsia="Arial" w:hAnsi="Arial" w:cs="Arial"/>
          <w:sz w:val="22"/>
          <w:szCs w:val="22"/>
        </w:rPr>
        <w:t xml:space="preserve">with </w:t>
      </w:r>
      <w:r w:rsidR="00D56AD2" w:rsidRPr="381FBA0D">
        <w:rPr>
          <w:rFonts w:ascii="Arial" w:eastAsia="Arial" w:hAnsi="Arial" w:cs="Arial"/>
          <w:sz w:val="22"/>
          <w:szCs w:val="22"/>
        </w:rPr>
        <w:t>their calculation</w:t>
      </w:r>
      <w:r w:rsidR="00863590" w:rsidRPr="381FBA0D">
        <w:rPr>
          <w:rFonts w:ascii="Arial" w:eastAsia="Arial" w:hAnsi="Arial" w:cs="Arial"/>
          <w:sz w:val="22"/>
          <w:szCs w:val="22"/>
        </w:rPr>
        <w:t>s</w:t>
      </w:r>
      <w:r w:rsidR="00D56AD2" w:rsidRPr="381FBA0D">
        <w:rPr>
          <w:rFonts w:ascii="Arial" w:eastAsia="Arial" w:hAnsi="Arial" w:cs="Arial"/>
          <w:sz w:val="22"/>
          <w:szCs w:val="22"/>
        </w:rPr>
        <w:t xml:space="preserve"> (where appropriate) at the end of this memo.</w:t>
      </w:r>
    </w:p>
    <w:p w14:paraId="39C1EE64" w14:textId="77777777" w:rsidR="007728FF" w:rsidRPr="00A351E8" w:rsidRDefault="007728FF" w:rsidP="007728FF">
      <w:pPr>
        <w:spacing w:before="0" w:after="0" w:line="240" w:lineRule="auto"/>
        <w:rPr>
          <w:rFonts w:ascii="Arial" w:eastAsia="Arial" w:hAnsi="Arial" w:cs="Arial"/>
          <w:sz w:val="22"/>
          <w:szCs w:val="22"/>
        </w:rPr>
      </w:pPr>
    </w:p>
    <w:p w14:paraId="6CF16F94" w14:textId="22870A92" w:rsidR="00812188" w:rsidRPr="00A351E8" w:rsidRDefault="00812188" w:rsidP="007728FF">
      <w:pPr>
        <w:spacing w:before="0" w:after="0" w:line="240" w:lineRule="auto"/>
        <w:rPr>
          <w:rFonts w:ascii="Arial" w:eastAsia="Arial" w:hAnsi="Arial" w:cs="Arial"/>
          <w:sz w:val="22"/>
          <w:szCs w:val="22"/>
        </w:rPr>
      </w:pPr>
      <w:r w:rsidRPr="00A351E8">
        <w:rPr>
          <w:rFonts w:ascii="Arial" w:eastAsia="Arial" w:hAnsi="Arial" w:cs="Arial"/>
          <w:b/>
          <w:bCs/>
          <w:sz w:val="22"/>
          <w:szCs w:val="22"/>
        </w:rPr>
        <w:t>Visits</w:t>
      </w:r>
      <w:r w:rsidRPr="00A351E8">
        <w:rPr>
          <w:rFonts w:ascii="Arial" w:eastAsia="Arial" w:hAnsi="Arial" w:cs="Arial"/>
          <w:sz w:val="22"/>
          <w:szCs w:val="22"/>
        </w:rPr>
        <w:t xml:space="preserve"> are a count of how many times members </w:t>
      </w:r>
      <w:r w:rsidR="00AD59DF" w:rsidRPr="00A351E8">
        <w:rPr>
          <w:rFonts w:ascii="Arial" w:eastAsia="Arial" w:hAnsi="Arial" w:cs="Arial"/>
          <w:sz w:val="22"/>
          <w:szCs w:val="22"/>
        </w:rPr>
        <w:t xml:space="preserve">visited doctors or facilities based on unique combinations of </w:t>
      </w:r>
      <w:r w:rsidR="00556408" w:rsidRPr="00A351E8">
        <w:rPr>
          <w:rFonts w:ascii="Arial" w:eastAsia="Arial" w:hAnsi="Arial" w:cs="Arial"/>
          <w:sz w:val="22"/>
          <w:szCs w:val="22"/>
        </w:rPr>
        <w:t xml:space="preserve">a </w:t>
      </w:r>
      <w:r w:rsidR="00AE041E" w:rsidRPr="00A351E8">
        <w:rPr>
          <w:rFonts w:ascii="Arial" w:eastAsia="Arial" w:hAnsi="Arial" w:cs="Arial"/>
          <w:sz w:val="22"/>
          <w:szCs w:val="22"/>
        </w:rPr>
        <w:t xml:space="preserve">provider </w:t>
      </w:r>
      <w:r w:rsidR="009F6A1B" w:rsidRPr="00A351E8">
        <w:rPr>
          <w:rFonts w:ascii="Arial" w:eastAsia="Arial" w:hAnsi="Arial" w:cs="Arial"/>
          <w:sz w:val="22"/>
          <w:szCs w:val="22"/>
        </w:rPr>
        <w:t xml:space="preserve">identifier, </w:t>
      </w:r>
      <w:r w:rsidR="00556408" w:rsidRPr="00A351E8">
        <w:rPr>
          <w:rFonts w:ascii="Arial" w:eastAsia="Arial" w:hAnsi="Arial" w:cs="Arial"/>
          <w:sz w:val="22"/>
          <w:szCs w:val="22"/>
        </w:rPr>
        <w:t>member</w:t>
      </w:r>
      <w:r w:rsidR="000162AE" w:rsidRPr="00A351E8">
        <w:rPr>
          <w:rFonts w:ascii="Arial" w:eastAsia="Arial" w:hAnsi="Arial" w:cs="Arial"/>
          <w:sz w:val="22"/>
          <w:szCs w:val="22"/>
        </w:rPr>
        <w:t xml:space="preserve"> id</w:t>
      </w:r>
      <w:r w:rsidR="00556408" w:rsidRPr="00A351E8">
        <w:rPr>
          <w:rFonts w:ascii="Arial" w:eastAsia="Arial" w:hAnsi="Arial" w:cs="Arial"/>
          <w:sz w:val="22"/>
          <w:szCs w:val="22"/>
        </w:rPr>
        <w:t>entifier</w:t>
      </w:r>
      <w:r w:rsidR="000162AE" w:rsidRPr="00A351E8">
        <w:rPr>
          <w:rFonts w:ascii="Arial" w:eastAsia="Arial" w:hAnsi="Arial" w:cs="Arial"/>
          <w:sz w:val="22"/>
          <w:szCs w:val="22"/>
        </w:rPr>
        <w:t xml:space="preserve"> and service date. </w:t>
      </w:r>
      <w:r w:rsidR="00C743F8" w:rsidRPr="00A351E8">
        <w:rPr>
          <w:rFonts w:ascii="Arial" w:eastAsia="Arial" w:hAnsi="Arial" w:cs="Arial"/>
          <w:sz w:val="22"/>
          <w:szCs w:val="22"/>
        </w:rPr>
        <w:t xml:space="preserve">Since this is a utilization metric, the </w:t>
      </w:r>
      <w:r w:rsidR="00E444F2">
        <w:rPr>
          <w:rFonts w:ascii="Arial" w:eastAsia="Arial" w:hAnsi="Arial" w:cs="Arial"/>
          <w:sz w:val="22"/>
          <w:szCs w:val="22"/>
        </w:rPr>
        <w:t xml:space="preserve">Grand Total </w:t>
      </w:r>
      <w:r w:rsidR="00C743F8" w:rsidRPr="00A351E8">
        <w:rPr>
          <w:rFonts w:ascii="Arial" w:eastAsia="Arial" w:hAnsi="Arial" w:cs="Arial"/>
          <w:sz w:val="22"/>
          <w:szCs w:val="22"/>
        </w:rPr>
        <w:t xml:space="preserve">is a simple </w:t>
      </w:r>
      <w:r w:rsidR="00CA7A91">
        <w:rPr>
          <w:rFonts w:ascii="Arial" w:eastAsia="Arial" w:hAnsi="Arial" w:cs="Arial"/>
          <w:sz w:val="22"/>
          <w:szCs w:val="22"/>
        </w:rPr>
        <w:t>aggregate</w:t>
      </w:r>
      <w:r w:rsidR="00C743F8" w:rsidRPr="00A351E8">
        <w:rPr>
          <w:rFonts w:ascii="Arial" w:eastAsia="Arial" w:hAnsi="Arial" w:cs="Arial"/>
          <w:sz w:val="22"/>
          <w:szCs w:val="22"/>
        </w:rPr>
        <w:t xml:space="preserve"> of all visits.</w:t>
      </w:r>
    </w:p>
    <w:p w14:paraId="0DA34A44" w14:textId="77777777" w:rsidR="00474F1A" w:rsidRPr="00A351E8" w:rsidRDefault="00474F1A" w:rsidP="007728FF">
      <w:pPr>
        <w:spacing w:before="0" w:after="0" w:line="240" w:lineRule="auto"/>
        <w:rPr>
          <w:rFonts w:ascii="Arial" w:eastAsia="Arial" w:hAnsi="Arial" w:cs="Arial"/>
          <w:sz w:val="22"/>
          <w:szCs w:val="22"/>
        </w:rPr>
      </w:pPr>
    </w:p>
    <w:p w14:paraId="2D844310" w14:textId="05F55717" w:rsidR="000B45EF" w:rsidRPr="00A351E8" w:rsidRDefault="008737E1" w:rsidP="007728FF">
      <w:pPr>
        <w:spacing w:before="0" w:after="0" w:line="240" w:lineRule="auto"/>
        <w:rPr>
          <w:rFonts w:ascii="Arial" w:eastAsia="Arial" w:hAnsi="Arial" w:cs="Arial"/>
          <w:sz w:val="22"/>
          <w:szCs w:val="22"/>
        </w:rPr>
      </w:pPr>
      <w:r w:rsidRPr="00A351E8">
        <w:rPr>
          <w:rFonts w:ascii="Arial" w:eastAsia="Arial" w:hAnsi="Arial" w:cs="Arial"/>
          <w:b/>
          <w:bCs/>
          <w:sz w:val="22"/>
          <w:szCs w:val="22"/>
        </w:rPr>
        <w:t>Visits per 1000</w:t>
      </w:r>
      <w:r w:rsidRPr="00A351E8">
        <w:rPr>
          <w:rFonts w:ascii="Arial" w:eastAsia="Arial" w:hAnsi="Arial" w:cs="Arial"/>
          <w:sz w:val="22"/>
          <w:szCs w:val="22"/>
        </w:rPr>
        <w:t xml:space="preserve"> </w:t>
      </w:r>
      <w:r w:rsidR="00ED6C2C" w:rsidRPr="00A351E8">
        <w:rPr>
          <w:rFonts w:ascii="Arial" w:eastAsia="Arial" w:hAnsi="Arial" w:cs="Arial"/>
          <w:sz w:val="22"/>
          <w:szCs w:val="22"/>
        </w:rPr>
        <w:t>are</w:t>
      </w:r>
      <w:r w:rsidR="00D6375F" w:rsidRPr="00A351E8">
        <w:rPr>
          <w:rFonts w:ascii="Arial" w:eastAsia="Arial" w:hAnsi="Arial" w:cs="Arial"/>
          <w:sz w:val="22"/>
          <w:szCs w:val="22"/>
        </w:rPr>
        <w:t xml:space="preserve"> </w:t>
      </w:r>
      <w:r w:rsidR="00C43248" w:rsidRPr="00A351E8">
        <w:rPr>
          <w:rFonts w:ascii="Arial" w:eastAsia="Arial" w:hAnsi="Arial" w:cs="Arial"/>
          <w:sz w:val="22"/>
          <w:szCs w:val="22"/>
        </w:rPr>
        <w:t>calculated</w:t>
      </w:r>
      <w:r w:rsidR="00D6375F" w:rsidRPr="00A351E8">
        <w:rPr>
          <w:rFonts w:ascii="Arial" w:eastAsia="Arial" w:hAnsi="Arial" w:cs="Arial"/>
          <w:sz w:val="22"/>
          <w:szCs w:val="22"/>
        </w:rPr>
        <w:t xml:space="preserve"> by dividing the total number of visits by the size of the population and then multiplying the result by 1,000. </w:t>
      </w:r>
      <w:r w:rsidR="00C43248" w:rsidRPr="00A351E8">
        <w:rPr>
          <w:rFonts w:ascii="Arial" w:eastAsia="Arial" w:hAnsi="Arial" w:cs="Arial"/>
          <w:sz w:val="22"/>
          <w:szCs w:val="22"/>
        </w:rPr>
        <w:t xml:space="preserve">Since the Utilization Report is an annual report, our visits per 1000 </w:t>
      </w:r>
      <w:r w:rsidR="000B45EF" w:rsidRPr="00A351E8">
        <w:rPr>
          <w:rFonts w:ascii="Arial" w:eastAsia="Arial" w:hAnsi="Arial" w:cs="Arial"/>
          <w:sz w:val="22"/>
          <w:szCs w:val="22"/>
        </w:rPr>
        <w:t xml:space="preserve">are calculated </w:t>
      </w:r>
      <w:r w:rsidR="007801A3" w:rsidRPr="00A351E8">
        <w:rPr>
          <w:rFonts w:ascii="Arial" w:eastAsia="Arial" w:hAnsi="Arial" w:cs="Arial"/>
          <w:sz w:val="22"/>
          <w:szCs w:val="22"/>
        </w:rPr>
        <w:t>by dividing</w:t>
      </w:r>
      <w:r w:rsidR="000B45EF" w:rsidRPr="00A351E8">
        <w:rPr>
          <w:rFonts w:ascii="Arial" w:eastAsia="Arial" w:hAnsi="Arial" w:cs="Arial"/>
          <w:sz w:val="22"/>
          <w:szCs w:val="22"/>
        </w:rPr>
        <w:t xml:space="preserve"> </w:t>
      </w:r>
      <w:r w:rsidR="001D5A53" w:rsidRPr="00A351E8">
        <w:rPr>
          <w:rFonts w:ascii="Arial" w:eastAsia="Arial" w:hAnsi="Arial" w:cs="Arial"/>
          <w:sz w:val="22"/>
          <w:szCs w:val="22"/>
        </w:rPr>
        <w:t>visits</w:t>
      </w:r>
      <w:r w:rsidR="000B45EF" w:rsidRPr="00A351E8">
        <w:rPr>
          <w:rFonts w:ascii="Arial" w:eastAsia="Arial" w:hAnsi="Arial" w:cs="Arial"/>
          <w:sz w:val="22"/>
          <w:szCs w:val="22"/>
        </w:rPr>
        <w:t xml:space="preserve"> </w:t>
      </w:r>
      <w:r w:rsidR="007801A3" w:rsidRPr="00A351E8">
        <w:rPr>
          <w:rFonts w:ascii="Arial" w:eastAsia="Arial" w:hAnsi="Arial" w:cs="Arial"/>
          <w:sz w:val="22"/>
          <w:szCs w:val="22"/>
        </w:rPr>
        <w:t>by a</w:t>
      </w:r>
      <w:r w:rsidR="00D312F1" w:rsidRPr="00A351E8">
        <w:rPr>
          <w:rFonts w:ascii="Arial" w:eastAsia="Arial" w:hAnsi="Arial" w:cs="Arial"/>
          <w:sz w:val="22"/>
          <w:szCs w:val="22"/>
        </w:rPr>
        <w:t>ver</w:t>
      </w:r>
      <w:r w:rsidR="00D057D5" w:rsidRPr="00A351E8">
        <w:rPr>
          <w:rFonts w:ascii="Arial" w:eastAsia="Arial" w:hAnsi="Arial" w:cs="Arial"/>
          <w:sz w:val="22"/>
          <w:szCs w:val="22"/>
        </w:rPr>
        <w:t xml:space="preserve">age </w:t>
      </w:r>
      <w:r w:rsidR="00D312F1" w:rsidRPr="00A351E8">
        <w:rPr>
          <w:rFonts w:ascii="Arial" w:eastAsia="Arial" w:hAnsi="Arial" w:cs="Arial"/>
          <w:sz w:val="22"/>
          <w:szCs w:val="22"/>
        </w:rPr>
        <w:t>membership</w:t>
      </w:r>
      <w:r w:rsidR="00D057D5" w:rsidRPr="00A351E8">
        <w:rPr>
          <w:rFonts w:ascii="Arial" w:eastAsia="Arial" w:hAnsi="Arial" w:cs="Arial"/>
          <w:sz w:val="22"/>
          <w:szCs w:val="22"/>
        </w:rPr>
        <w:t xml:space="preserve"> (member months divided by</w:t>
      </w:r>
      <w:r w:rsidR="00665F4A" w:rsidRPr="00A351E8">
        <w:rPr>
          <w:rFonts w:ascii="Arial" w:eastAsia="Arial" w:hAnsi="Arial" w:cs="Arial"/>
          <w:sz w:val="22"/>
          <w:szCs w:val="22"/>
        </w:rPr>
        <w:t xml:space="preserve"> 12</w:t>
      </w:r>
      <w:r w:rsidR="00D057D5" w:rsidRPr="00A351E8">
        <w:rPr>
          <w:rFonts w:ascii="Arial" w:eastAsia="Arial" w:hAnsi="Arial" w:cs="Arial"/>
          <w:sz w:val="22"/>
          <w:szCs w:val="22"/>
        </w:rPr>
        <w:t>)</w:t>
      </w:r>
      <w:r w:rsidR="005F37BA" w:rsidRPr="00A351E8">
        <w:rPr>
          <w:rFonts w:ascii="Arial" w:eastAsia="Arial" w:hAnsi="Arial" w:cs="Arial"/>
          <w:sz w:val="22"/>
          <w:szCs w:val="22"/>
        </w:rPr>
        <w:t xml:space="preserve"> and multiplying by 1,000</w:t>
      </w:r>
      <w:r w:rsidR="00665F4A" w:rsidRPr="00A351E8">
        <w:rPr>
          <w:rFonts w:ascii="Arial" w:eastAsia="Arial" w:hAnsi="Arial" w:cs="Arial"/>
          <w:sz w:val="22"/>
          <w:szCs w:val="22"/>
        </w:rPr>
        <w:t xml:space="preserve">. </w:t>
      </w:r>
      <w:r w:rsidR="00C62D8E" w:rsidRPr="00A351E8">
        <w:rPr>
          <w:rFonts w:ascii="Arial" w:eastAsia="Arial" w:hAnsi="Arial" w:cs="Arial"/>
          <w:sz w:val="22"/>
          <w:szCs w:val="22"/>
        </w:rPr>
        <w:t>This metric is commonly used in healthcare to measure the utilization of services, such as emergency room visits or hospital admissions, by a specific population.</w:t>
      </w:r>
    </w:p>
    <w:p w14:paraId="76CD9351" w14:textId="77777777" w:rsidR="00CB0E06" w:rsidRPr="00A351E8" w:rsidRDefault="00CB0E06" w:rsidP="007728FF">
      <w:pPr>
        <w:spacing w:before="0" w:after="0" w:line="240" w:lineRule="auto"/>
        <w:rPr>
          <w:rFonts w:ascii="Arial" w:eastAsia="Arial" w:hAnsi="Arial" w:cs="Arial"/>
          <w:sz w:val="22"/>
          <w:szCs w:val="22"/>
        </w:rPr>
      </w:pPr>
    </w:p>
    <w:p w14:paraId="72AE8915" w14:textId="50C3F298" w:rsidR="00CB0E06" w:rsidRPr="00A351E8" w:rsidRDefault="00CB0E06" w:rsidP="007728FF">
      <w:pPr>
        <w:spacing w:before="0" w:after="0" w:line="240" w:lineRule="auto"/>
        <w:rPr>
          <w:rFonts w:ascii="Arial" w:eastAsia="Arial" w:hAnsi="Arial" w:cs="Arial"/>
          <w:sz w:val="22"/>
          <w:szCs w:val="22"/>
        </w:rPr>
      </w:pPr>
      <w:r w:rsidRPr="00A351E8">
        <w:rPr>
          <w:rFonts w:ascii="Arial" w:eastAsia="Arial" w:hAnsi="Arial" w:cs="Arial"/>
          <w:b/>
          <w:bCs/>
          <w:sz w:val="22"/>
          <w:szCs w:val="22"/>
        </w:rPr>
        <w:t>Patients ar</w:t>
      </w:r>
      <w:r w:rsidRPr="00A351E8">
        <w:rPr>
          <w:rFonts w:ascii="Arial" w:eastAsia="Arial" w:hAnsi="Arial" w:cs="Arial"/>
          <w:sz w:val="22"/>
          <w:szCs w:val="22"/>
        </w:rPr>
        <w:t xml:space="preserve">e a unique count of members who visited a provider or facility. Patients are counted within categories depending on member status at the time of service. It is possible for a member </w:t>
      </w:r>
      <w:r w:rsidRPr="00A351E8">
        <w:rPr>
          <w:rFonts w:ascii="Arial" w:eastAsia="Arial" w:hAnsi="Arial" w:cs="Arial"/>
          <w:sz w:val="22"/>
          <w:szCs w:val="22"/>
        </w:rPr>
        <w:lastRenderedPageBreak/>
        <w:t xml:space="preserve">to be counted in more than one category if appropriate to their circumstances. However, the </w:t>
      </w:r>
      <w:r w:rsidR="00A95966">
        <w:rPr>
          <w:rFonts w:ascii="Arial" w:eastAsia="Arial" w:hAnsi="Arial" w:cs="Arial"/>
          <w:sz w:val="22"/>
          <w:szCs w:val="22"/>
        </w:rPr>
        <w:t xml:space="preserve">Grand Total </w:t>
      </w:r>
      <w:r w:rsidRPr="00A351E8">
        <w:rPr>
          <w:rFonts w:ascii="Arial" w:eastAsia="Arial" w:hAnsi="Arial" w:cs="Arial"/>
          <w:sz w:val="22"/>
          <w:szCs w:val="22"/>
        </w:rPr>
        <w:t>of patients is unique, meaning members are only counted once in the total row.</w:t>
      </w:r>
    </w:p>
    <w:p w14:paraId="3722EC5C" w14:textId="77777777" w:rsidR="00474F1A" w:rsidRPr="00A351E8" w:rsidRDefault="00474F1A" w:rsidP="007728FF">
      <w:pPr>
        <w:spacing w:before="0" w:after="0" w:line="240" w:lineRule="auto"/>
        <w:rPr>
          <w:rFonts w:ascii="Arial" w:eastAsia="Arial" w:hAnsi="Arial" w:cs="Arial"/>
          <w:sz w:val="22"/>
          <w:szCs w:val="22"/>
        </w:rPr>
      </w:pPr>
    </w:p>
    <w:p w14:paraId="4FE3FB73" w14:textId="77777777" w:rsidR="006B3751" w:rsidRDefault="00665F4A" w:rsidP="007728FF">
      <w:pPr>
        <w:spacing w:before="0" w:after="0" w:line="240" w:lineRule="auto"/>
        <w:rPr>
          <w:rFonts w:ascii="Arial" w:eastAsia="Arial" w:hAnsi="Arial" w:cs="Arial"/>
          <w:sz w:val="22"/>
          <w:szCs w:val="22"/>
        </w:rPr>
      </w:pPr>
      <w:r w:rsidRPr="00A351E8">
        <w:rPr>
          <w:rFonts w:ascii="Arial" w:eastAsia="Arial" w:hAnsi="Arial" w:cs="Arial"/>
          <w:b/>
          <w:bCs/>
          <w:sz w:val="22"/>
          <w:szCs w:val="22"/>
        </w:rPr>
        <w:t>Patients per 1000</w:t>
      </w:r>
      <w:r w:rsidRPr="00A351E8">
        <w:rPr>
          <w:rFonts w:ascii="Arial" w:eastAsia="Arial" w:hAnsi="Arial" w:cs="Arial"/>
          <w:sz w:val="22"/>
          <w:szCs w:val="22"/>
        </w:rPr>
        <w:t xml:space="preserve"> metrics are calculated </w:t>
      </w:r>
      <w:r w:rsidR="00E514E7" w:rsidRPr="00A351E8">
        <w:rPr>
          <w:rFonts w:ascii="Arial" w:eastAsia="Arial" w:hAnsi="Arial" w:cs="Arial"/>
          <w:sz w:val="22"/>
          <w:szCs w:val="22"/>
        </w:rPr>
        <w:t xml:space="preserve">by dividing patient counts by </w:t>
      </w:r>
      <w:r w:rsidR="003F10E4" w:rsidRPr="00A351E8">
        <w:rPr>
          <w:rFonts w:ascii="Arial" w:eastAsia="Arial" w:hAnsi="Arial" w:cs="Arial"/>
          <w:sz w:val="22"/>
          <w:szCs w:val="22"/>
        </w:rPr>
        <w:t xml:space="preserve">unique member counts. </w:t>
      </w:r>
      <w:r w:rsidR="000B7221" w:rsidRPr="00A351E8">
        <w:rPr>
          <w:rFonts w:ascii="Arial" w:eastAsia="Arial" w:hAnsi="Arial" w:cs="Arial"/>
          <w:sz w:val="22"/>
          <w:szCs w:val="22"/>
        </w:rPr>
        <w:t>Counting unique patients accurately reflects the number of individuals receiving care for a specific service or condition.</w:t>
      </w:r>
      <w:r w:rsidR="007251DA" w:rsidRPr="00A351E8">
        <w:rPr>
          <w:rFonts w:ascii="Arial" w:eastAsia="Arial" w:hAnsi="Arial" w:cs="Arial"/>
          <w:sz w:val="22"/>
          <w:szCs w:val="22"/>
        </w:rPr>
        <w:t xml:space="preserve"> </w:t>
      </w:r>
    </w:p>
    <w:p w14:paraId="3E0E9596" w14:textId="77777777" w:rsidR="006B3751" w:rsidRDefault="006B3751" w:rsidP="007728FF">
      <w:pPr>
        <w:spacing w:before="0" w:after="0" w:line="240" w:lineRule="auto"/>
        <w:rPr>
          <w:rFonts w:ascii="Arial" w:eastAsia="Arial" w:hAnsi="Arial" w:cs="Arial"/>
          <w:sz w:val="22"/>
          <w:szCs w:val="22"/>
        </w:rPr>
      </w:pPr>
    </w:p>
    <w:p w14:paraId="605F122B" w14:textId="783255B2" w:rsidR="00641233" w:rsidRPr="00A351E8" w:rsidRDefault="001C7F96" w:rsidP="007728FF">
      <w:pPr>
        <w:spacing w:before="0" w:after="0" w:line="240" w:lineRule="auto"/>
        <w:rPr>
          <w:rFonts w:ascii="Arial" w:eastAsia="Arial" w:hAnsi="Arial" w:cs="Arial"/>
          <w:sz w:val="22"/>
          <w:szCs w:val="22"/>
        </w:rPr>
      </w:pPr>
      <w:r w:rsidRPr="00A351E8">
        <w:rPr>
          <w:rFonts w:ascii="Arial" w:eastAsia="Arial" w:hAnsi="Arial" w:cs="Arial"/>
          <w:sz w:val="22"/>
          <w:szCs w:val="22"/>
        </w:rPr>
        <w:t xml:space="preserve">Since patients are unique within groups and in </w:t>
      </w:r>
      <w:r w:rsidR="00211860" w:rsidRPr="00A351E8">
        <w:rPr>
          <w:rFonts w:ascii="Arial" w:eastAsia="Arial" w:hAnsi="Arial" w:cs="Arial"/>
          <w:sz w:val="22"/>
          <w:szCs w:val="22"/>
        </w:rPr>
        <w:t>total</w:t>
      </w:r>
      <w:r w:rsidRPr="00A351E8">
        <w:rPr>
          <w:rFonts w:ascii="Arial" w:eastAsia="Arial" w:hAnsi="Arial" w:cs="Arial"/>
          <w:sz w:val="22"/>
          <w:szCs w:val="22"/>
        </w:rPr>
        <w:t xml:space="preserve">, it is more appropriate to use </w:t>
      </w:r>
      <w:r w:rsidR="000823A4" w:rsidRPr="00A351E8">
        <w:rPr>
          <w:rFonts w:ascii="Arial" w:eastAsia="Arial" w:hAnsi="Arial" w:cs="Arial"/>
          <w:sz w:val="22"/>
          <w:szCs w:val="22"/>
        </w:rPr>
        <w:t>Members Unique Count</w:t>
      </w:r>
      <w:r w:rsidRPr="00A351E8">
        <w:rPr>
          <w:rFonts w:ascii="Arial" w:eastAsia="Arial" w:hAnsi="Arial" w:cs="Arial"/>
          <w:sz w:val="22"/>
          <w:szCs w:val="22"/>
        </w:rPr>
        <w:t xml:space="preserve"> as a denominator</w:t>
      </w:r>
      <w:r w:rsidR="00222618" w:rsidRPr="00A351E8">
        <w:rPr>
          <w:rFonts w:ascii="Arial" w:eastAsia="Arial" w:hAnsi="Arial" w:cs="Arial"/>
          <w:sz w:val="22"/>
          <w:szCs w:val="22"/>
        </w:rPr>
        <w:t xml:space="preserve"> in the calculation of patients per 1000. </w:t>
      </w:r>
      <w:r w:rsidR="00641233" w:rsidRPr="00A351E8">
        <w:rPr>
          <w:rFonts w:ascii="Arial" w:eastAsia="Arial" w:hAnsi="Arial" w:cs="Arial"/>
          <w:sz w:val="22"/>
          <w:szCs w:val="22"/>
        </w:rPr>
        <w:t xml:space="preserve">Calculating patients per 1,000 based on unique member counts provides a more accurate and meaningful measure of population health and healthcare utilization. </w:t>
      </w:r>
    </w:p>
    <w:p w14:paraId="31936390" w14:textId="77777777" w:rsidR="002C21D2" w:rsidRDefault="002C21D2" w:rsidP="00282C16">
      <w:pPr>
        <w:spacing w:before="0" w:after="0"/>
        <w:rPr>
          <w:rFonts w:ascii="Arial" w:eastAsia="Arial" w:hAnsi="Arial" w:cs="Arial"/>
        </w:rPr>
      </w:pPr>
    </w:p>
    <w:p w14:paraId="20403BC7" w14:textId="63E2BD39" w:rsidR="0052596D" w:rsidRPr="00614BF0" w:rsidRDefault="00352E1D" w:rsidP="00DC6A01">
      <w:pPr>
        <w:pStyle w:val="Heading2"/>
        <w:rPr>
          <w:rFonts w:ascii="Arial" w:hAnsi="Arial" w:cs="Arial"/>
          <w:sz w:val="24"/>
          <w:szCs w:val="24"/>
        </w:rPr>
      </w:pPr>
      <w:r w:rsidRPr="00614BF0">
        <w:rPr>
          <w:rFonts w:ascii="Arial" w:hAnsi="Arial" w:cs="Arial"/>
          <w:sz w:val="24"/>
          <w:szCs w:val="24"/>
        </w:rPr>
        <w:t>Member Counts</w:t>
      </w:r>
    </w:p>
    <w:p w14:paraId="67DFF30B" w14:textId="215AAFAD" w:rsidR="4FDD740C" w:rsidRDefault="4FDD740C" w:rsidP="4FDD740C">
      <w:pPr>
        <w:pStyle w:val="NoSpacing"/>
      </w:pPr>
    </w:p>
    <w:p w14:paraId="3605F6DF" w14:textId="54B08DEF" w:rsidR="002E2877" w:rsidRPr="00614BF0" w:rsidRDefault="002E2877" w:rsidP="00614BF0">
      <w:pPr>
        <w:spacing w:before="0" w:after="0" w:line="240" w:lineRule="auto"/>
        <w:rPr>
          <w:rFonts w:ascii="Arial" w:eastAsia="Arial" w:hAnsi="Arial" w:cs="Arial"/>
          <w:sz w:val="22"/>
        </w:rPr>
      </w:pPr>
      <w:r w:rsidRPr="00614BF0">
        <w:rPr>
          <w:rFonts w:ascii="Arial" w:eastAsia="Arial" w:hAnsi="Arial" w:cs="Arial"/>
          <w:sz w:val="22"/>
        </w:rPr>
        <w:t>There are three different counts of members in the report</w:t>
      </w:r>
      <w:r w:rsidR="004D083C" w:rsidRPr="00614BF0">
        <w:rPr>
          <w:rFonts w:ascii="Arial" w:eastAsia="Arial" w:hAnsi="Arial" w:cs="Arial"/>
          <w:sz w:val="22"/>
        </w:rPr>
        <w:t xml:space="preserve">. They are Unique Count, Member Months and </w:t>
      </w:r>
      <w:r w:rsidR="006B3643" w:rsidRPr="00614BF0">
        <w:rPr>
          <w:rFonts w:ascii="Arial" w:eastAsia="Arial" w:hAnsi="Arial" w:cs="Arial"/>
          <w:sz w:val="22"/>
        </w:rPr>
        <w:t xml:space="preserve">Member </w:t>
      </w:r>
      <w:r w:rsidR="004D083C" w:rsidRPr="00614BF0">
        <w:rPr>
          <w:rFonts w:ascii="Arial" w:eastAsia="Arial" w:hAnsi="Arial" w:cs="Arial"/>
          <w:sz w:val="22"/>
        </w:rPr>
        <w:t>Average</w:t>
      </w:r>
      <w:r w:rsidR="006B3643" w:rsidRPr="00614BF0">
        <w:rPr>
          <w:rFonts w:ascii="Arial" w:eastAsia="Arial" w:hAnsi="Arial" w:cs="Arial"/>
          <w:sz w:val="22"/>
        </w:rPr>
        <w:t>.</w:t>
      </w:r>
      <w:r w:rsidR="6849F3A1" w:rsidRPr="00614BF0">
        <w:rPr>
          <w:rFonts w:ascii="Arial" w:eastAsia="Arial" w:hAnsi="Arial" w:cs="Arial"/>
          <w:sz w:val="22"/>
        </w:rPr>
        <w:t xml:space="preserve"> </w:t>
      </w:r>
    </w:p>
    <w:p w14:paraId="2CA03891" w14:textId="77777777" w:rsidR="00EC368E" w:rsidRPr="00614BF0" w:rsidRDefault="00EC368E" w:rsidP="00614BF0">
      <w:pPr>
        <w:spacing w:before="0" w:after="0" w:line="240" w:lineRule="auto"/>
        <w:rPr>
          <w:rFonts w:ascii="Arial" w:eastAsia="Arial" w:hAnsi="Arial" w:cs="Arial"/>
          <w:sz w:val="22"/>
        </w:rPr>
      </w:pPr>
    </w:p>
    <w:p w14:paraId="6134644D" w14:textId="1F8CC7B5" w:rsidR="003301B7" w:rsidRPr="00614BF0" w:rsidRDefault="0083622E" w:rsidP="00614BF0">
      <w:pPr>
        <w:spacing w:before="0" w:after="0" w:line="240" w:lineRule="auto"/>
        <w:rPr>
          <w:rFonts w:ascii="Arial" w:eastAsia="Arial" w:hAnsi="Arial" w:cs="Arial"/>
          <w:sz w:val="22"/>
        </w:rPr>
      </w:pPr>
      <w:r w:rsidRPr="00614BF0">
        <w:rPr>
          <w:rFonts w:ascii="Arial" w:eastAsia="Arial" w:hAnsi="Arial" w:cs="Arial"/>
          <w:b/>
          <w:bCs/>
          <w:sz w:val="22"/>
        </w:rPr>
        <w:t xml:space="preserve">Unique Count </w:t>
      </w:r>
      <w:r w:rsidRPr="00614BF0">
        <w:rPr>
          <w:rFonts w:ascii="Arial" w:eastAsia="Arial" w:hAnsi="Arial" w:cs="Arial"/>
          <w:sz w:val="22"/>
        </w:rPr>
        <w:t>counts each member once per coverage year</w:t>
      </w:r>
      <w:r w:rsidR="003301B7" w:rsidRPr="00614BF0">
        <w:rPr>
          <w:rFonts w:ascii="Arial" w:eastAsia="Arial" w:hAnsi="Arial" w:cs="Arial"/>
          <w:sz w:val="22"/>
        </w:rPr>
        <w:t xml:space="preserve">. </w:t>
      </w:r>
      <w:r w:rsidR="00B76020" w:rsidRPr="00614BF0">
        <w:rPr>
          <w:rFonts w:ascii="Arial" w:eastAsia="Arial" w:hAnsi="Arial" w:cs="Arial"/>
          <w:sz w:val="22"/>
        </w:rPr>
        <w:t xml:space="preserve">This number tends to be lower than average membership </w:t>
      </w:r>
      <w:r w:rsidR="00C04A1F" w:rsidRPr="00614BF0">
        <w:rPr>
          <w:rFonts w:ascii="Arial" w:eastAsia="Arial" w:hAnsi="Arial" w:cs="Arial"/>
          <w:sz w:val="22"/>
        </w:rPr>
        <w:t xml:space="preserve">because members are counted regardless of their tenure in the program. Members with 12 months of membership in the year are counted once as well as members who were in the program for only one month. </w:t>
      </w:r>
    </w:p>
    <w:p w14:paraId="313A133E" w14:textId="77777777" w:rsidR="00EC368E" w:rsidRPr="00614BF0" w:rsidRDefault="00EC368E" w:rsidP="00614BF0">
      <w:pPr>
        <w:spacing w:before="0" w:after="0" w:line="240" w:lineRule="auto"/>
        <w:rPr>
          <w:rFonts w:ascii="Arial" w:eastAsia="Arial" w:hAnsi="Arial" w:cs="Arial"/>
          <w:sz w:val="22"/>
        </w:rPr>
      </w:pPr>
    </w:p>
    <w:p w14:paraId="309616DF" w14:textId="7AC419B9" w:rsidR="003301B7" w:rsidRPr="00614BF0" w:rsidRDefault="003301B7" w:rsidP="00614BF0">
      <w:pPr>
        <w:spacing w:before="0" w:after="0" w:line="240" w:lineRule="auto"/>
        <w:rPr>
          <w:rFonts w:ascii="Arial" w:eastAsia="Arial" w:hAnsi="Arial" w:cs="Arial"/>
          <w:sz w:val="22"/>
        </w:rPr>
      </w:pPr>
      <w:r w:rsidRPr="00614BF0">
        <w:rPr>
          <w:rFonts w:ascii="Arial" w:eastAsia="Arial" w:hAnsi="Arial" w:cs="Arial"/>
          <w:b/>
          <w:bCs/>
          <w:sz w:val="22"/>
        </w:rPr>
        <w:t xml:space="preserve">Member Months </w:t>
      </w:r>
      <w:r w:rsidRPr="00614BF0">
        <w:rPr>
          <w:rFonts w:ascii="Arial" w:eastAsia="Arial" w:hAnsi="Arial" w:cs="Arial"/>
          <w:sz w:val="22"/>
        </w:rPr>
        <w:t>counts each member once per month of coverage</w:t>
      </w:r>
      <w:r w:rsidR="007C431B" w:rsidRPr="00614BF0">
        <w:rPr>
          <w:rFonts w:ascii="Arial" w:eastAsia="Arial" w:hAnsi="Arial" w:cs="Arial"/>
          <w:sz w:val="22"/>
        </w:rPr>
        <w:t>.</w:t>
      </w:r>
      <w:r w:rsidR="00F876C7" w:rsidRPr="00614BF0">
        <w:rPr>
          <w:rFonts w:ascii="Arial" w:eastAsia="Arial" w:hAnsi="Arial" w:cs="Arial"/>
          <w:sz w:val="22"/>
        </w:rPr>
        <w:t xml:space="preserve"> This is typically used in calculating average membership and </w:t>
      </w:r>
      <w:r w:rsidR="00A928FC" w:rsidRPr="00614BF0">
        <w:rPr>
          <w:rFonts w:ascii="Arial" w:eastAsia="Arial" w:hAnsi="Arial" w:cs="Arial"/>
          <w:sz w:val="22"/>
        </w:rPr>
        <w:t xml:space="preserve">per member per month (PMPM) metrics. </w:t>
      </w:r>
    </w:p>
    <w:p w14:paraId="6CBF3BBE" w14:textId="77777777" w:rsidR="00EC368E" w:rsidRPr="00614BF0" w:rsidRDefault="00EC368E" w:rsidP="00614BF0">
      <w:pPr>
        <w:spacing w:before="0" w:after="0" w:line="240" w:lineRule="auto"/>
        <w:rPr>
          <w:rFonts w:ascii="Arial" w:eastAsia="Arial" w:hAnsi="Arial" w:cs="Arial"/>
          <w:b/>
          <w:bCs/>
          <w:sz w:val="22"/>
        </w:rPr>
      </w:pPr>
    </w:p>
    <w:p w14:paraId="763A451F" w14:textId="4205BA87" w:rsidR="003746AA" w:rsidRPr="00614BF0" w:rsidRDefault="008959EF" w:rsidP="00614BF0">
      <w:pPr>
        <w:spacing w:before="0" w:after="0" w:line="240" w:lineRule="auto"/>
        <w:rPr>
          <w:rFonts w:ascii="Arial" w:eastAsia="Arial" w:hAnsi="Arial" w:cs="Arial"/>
          <w:sz w:val="22"/>
        </w:rPr>
      </w:pPr>
      <w:r w:rsidRPr="00614BF0">
        <w:rPr>
          <w:rFonts w:ascii="Arial" w:eastAsia="Arial" w:hAnsi="Arial" w:cs="Arial"/>
          <w:b/>
          <w:bCs/>
          <w:sz w:val="22"/>
        </w:rPr>
        <w:t>Member</w:t>
      </w:r>
      <w:r w:rsidR="000D44EE" w:rsidRPr="00614BF0">
        <w:rPr>
          <w:rFonts w:ascii="Arial" w:eastAsia="Arial" w:hAnsi="Arial" w:cs="Arial"/>
          <w:b/>
          <w:bCs/>
          <w:sz w:val="22"/>
        </w:rPr>
        <w:t xml:space="preserve"> Average</w:t>
      </w:r>
      <w:r w:rsidRPr="00614BF0">
        <w:rPr>
          <w:rFonts w:ascii="Arial" w:eastAsia="Arial" w:hAnsi="Arial" w:cs="Arial"/>
          <w:sz w:val="22"/>
        </w:rPr>
        <w:t xml:space="preserve"> is </w:t>
      </w:r>
      <w:r w:rsidR="00AF13EF" w:rsidRPr="00614BF0">
        <w:rPr>
          <w:rFonts w:ascii="Arial" w:eastAsia="Arial" w:hAnsi="Arial" w:cs="Arial"/>
          <w:sz w:val="22"/>
        </w:rPr>
        <w:t xml:space="preserve">calculated by dividing </w:t>
      </w:r>
      <w:r w:rsidR="003E7E7C" w:rsidRPr="00614BF0">
        <w:rPr>
          <w:rFonts w:ascii="Arial" w:eastAsia="Arial" w:hAnsi="Arial" w:cs="Arial"/>
          <w:sz w:val="22"/>
        </w:rPr>
        <w:t xml:space="preserve">total </w:t>
      </w:r>
      <w:r w:rsidR="00B61228" w:rsidRPr="00614BF0">
        <w:rPr>
          <w:rFonts w:ascii="Arial" w:eastAsia="Arial" w:hAnsi="Arial" w:cs="Arial"/>
          <w:sz w:val="22"/>
        </w:rPr>
        <w:t>m</w:t>
      </w:r>
      <w:r w:rsidR="00AF13EF" w:rsidRPr="00614BF0">
        <w:rPr>
          <w:rFonts w:ascii="Arial" w:eastAsia="Arial" w:hAnsi="Arial" w:cs="Arial"/>
          <w:sz w:val="22"/>
        </w:rPr>
        <w:t xml:space="preserve">embers </w:t>
      </w:r>
      <w:r w:rsidR="00B61228" w:rsidRPr="00614BF0">
        <w:rPr>
          <w:rFonts w:ascii="Arial" w:eastAsia="Arial" w:hAnsi="Arial" w:cs="Arial"/>
          <w:sz w:val="22"/>
        </w:rPr>
        <w:t>m</w:t>
      </w:r>
      <w:r w:rsidR="00AF13EF" w:rsidRPr="00614BF0">
        <w:rPr>
          <w:rFonts w:ascii="Arial" w:eastAsia="Arial" w:hAnsi="Arial" w:cs="Arial"/>
          <w:sz w:val="22"/>
        </w:rPr>
        <w:t>onths</w:t>
      </w:r>
      <w:r w:rsidR="003E7E7C" w:rsidRPr="00614BF0">
        <w:rPr>
          <w:rFonts w:ascii="Arial" w:eastAsia="Arial" w:hAnsi="Arial" w:cs="Arial"/>
          <w:sz w:val="22"/>
        </w:rPr>
        <w:t xml:space="preserve"> for the calendar year</w:t>
      </w:r>
      <w:r w:rsidR="00AF13EF" w:rsidRPr="00614BF0">
        <w:rPr>
          <w:rFonts w:ascii="Arial" w:eastAsia="Arial" w:hAnsi="Arial" w:cs="Arial"/>
          <w:sz w:val="22"/>
        </w:rPr>
        <w:t xml:space="preserve"> by 12. </w:t>
      </w:r>
      <w:r w:rsidR="003507EC" w:rsidRPr="00614BF0">
        <w:rPr>
          <w:rFonts w:ascii="Arial" w:eastAsia="Arial" w:hAnsi="Arial" w:cs="Arial"/>
          <w:sz w:val="22"/>
        </w:rPr>
        <w:t>This is used in the calculation of visits per 1000</w:t>
      </w:r>
    </w:p>
    <w:p w14:paraId="4E63E0EC" w14:textId="77777777" w:rsidR="0091332A" w:rsidRPr="00860003" w:rsidRDefault="0091332A" w:rsidP="4FDD740C">
      <w:pPr>
        <w:pStyle w:val="NoSpacing"/>
      </w:pPr>
    </w:p>
    <w:p w14:paraId="6E1BC41D" w14:textId="77777777" w:rsidR="0091332A" w:rsidRPr="00614BF0" w:rsidRDefault="0091332A" w:rsidP="00DC6A01">
      <w:pPr>
        <w:pStyle w:val="Heading2"/>
        <w:rPr>
          <w:rFonts w:ascii="Arial" w:hAnsi="Arial" w:cs="Arial"/>
          <w:sz w:val="24"/>
          <w:szCs w:val="24"/>
        </w:rPr>
      </w:pPr>
      <w:r w:rsidRPr="00614BF0">
        <w:rPr>
          <w:rFonts w:ascii="Arial" w:hAnsi="Arial" w:cs="Arial"/>
          <w:sz w:val="24"/>
          <w:szCs w:val="24"/>
        </w:rPr>
        <w:t>Utilization Metrics</w:t>
      </w:r>
    </w:p>
    <w:p w14:paraId="30B51650" w14:textId="20302892" w:rsidR="4FDD740C" w:rsidRDefault="4FDD740C" w:rsidP="4FDD740C">
      <w:pPr>
        <w:pStyle w:val="NoSpacing"/>
      </w:pPr>
    </w:p>
    <w:p w14:paraId="6DAFDBE4" w14:textId="21684787" w:rsidR="0091332A" w:rsidRPr="00614BF0" w:rsidRDefault="0091332A" w:rsidP="00614BF0">
      <w:pPr>
        <w:spacing w:before="0" w:after="0" w:line="240" w:lineRule="auto"/>
        <w:rPr>
          <w:rFonts w:ascii="Arial" w:eastAsia="Arial" w:hAnsi="Arial" w:cs="Arial"/>
          <w:sz w:val="22"/>
          <w:szCs w:val="22"/>
        </w:rPr>
      </w:pPr>
      <w:r w:rsidRPr="00614BF0">
        <w:rPr>
          <w:rFonts w:ascii="Arial" w:eastAsia="Arial" w:hAnsi="Arial" w:cs="Arial"/>
          <w:sz w:val="22"/>
          <w:szCs w:val="22"/>
        </w:rPr>
        <w:t xml:space="preserve">This section provides a general description of </w:t>
      </w:r>
      <w:proofErr w:type="gramStart"/>
      <w:r w:rsidRPr="00614BF0">
        <w:rPr>
          <w:rFonts w:ascii="Arial" w:eastAsia="Arial" w:hAnsi="Arial" w:cs="Arial"/>
          <w:sz w:val="22"/>
          <w:szCs w:val="22"/>
        </w:rPr>
        <w:t>utilization</w:t>
      </w:r>
      <w:proofErr w:type="gramEnd"/>
      <w:r w:rsidRPr="00614BF0">
        <w:rPr>
          <w:rFonts w:ascii="Arial" w:eastAsia="Arial" w:hAnsi="Arial" w:cs="Arial"/>
          <w:sz w:val="22"/>
          <w:szCs w:val="22"/>
        </w:rPr>
        <w:t xml:space="preserve"> metrics within the report. A complete set of metrics and their descriptions, with calculations, is included at the end of this memo. </w:t>
      </w:r>
      <w:r w:rsidR="6B6C7B89" w:rsidRPr="00614BF0">
        <w:rPr>
          <w:rFonts w:ascii="Arial" w:eastAsia="Arial" w:hAnsi="Arial" w:cs="Arial"/>
          <w:sz w:val="22"/>
          <w:szCs w:val="22"/>
        </w:rPr>
        <w:t xml:space="preserve">All </w:t>
      </w:r>
      <w:r w:rsidR="738EFA71" w:rsidRPr="00614BF0">
        <w:rPr>
          <w:rFonts w:ascii="Arial" w:eastAsia="Arial" w:hAnsi="Arial" w:cs="Arial"/>
          <w:sz w:val="22"/>
          <w:szCs w:val="22"/>
        </w:rPr>
        <w:t xml:space="preserve">patient and </w:t>
      </w:r>
      <w:r w:rsidR="522CCE6A" w:rsidRPr="00614BF0">
        <w:rPr>
          <w:rFonts w:ascii="Arial" w:eastAsia="Arial" w:hAnsi="Arial" w:cs="Arial"/>
          <w:sz w:val="22"/>
          <w:szCs w:val="22"/>
        </w:rPr>
        <w:t>utilization metrics</w:t>
      </w:r>
      <w:r w:rsidR="6B6C7B89" w:rsidRPr="00614BF0">
        <w:rPr>
          <w:rFonts w:ascii="Arial" w:eastAsia="Arial" w:hAnsi="Arial" w:cs="Arial"/>
          <w:sz w:val="22"/>
          <w:szCs w:val="22"/>
        </w:rPr>
        <w:t xml:space="preserve"> </w:t>
      </w:r>
      <w:r w:rsidR="2107E554" w:rsidRPr="00614BF0">
        <w:rPr>
          <w:rFonts w:ascii="Arial" w:eastAsia="Arial" w:hAnsi="Arial" w:cs="Arial"/>
          <w:sz w:val="22"/>
          <w:szCs w:val="22"/>
        </w:rPr>
        <w:t xml:space="preserve">(visits, admissions, scripts, days and claims) </w:t>
      </w:r>
      <w:r w:rsidR="6B6C7B89" w:rsidRPr="00614BF0">
        <w:rPr>
          <w:rFonts w:ascii="Arial" w:eastAsia="Arial" w:hAnsi="Arial" w:cs="Arial"/>
          <w:sz w:val="22"/>
          <w:szCs w:val="22"/>
        </w:rPr>
        <w:t xml:space="preserve">are rounded to the nearest 10, and </w:t>
      </w:r>
      <w:r w:rsidR="2086A235" w:rsidRPr="00614BF0">
        <w:rPr>
          <w:rFonts w:ascii="Arial" w:eastAsia="Arial" w:hAnsi="Arial" w:cs="Arial"/>
          <w:sz w:val="22"/>
          <w:szCs w:val="22"/>
        </w:rPr>
        <w:t>subsequent calculated</w:t>
      </w:r>
      <w:r w:rsidR="6B6C7B89" w:rsidRPr="00614BF0">
        <w:rPr>
          <w:rFonts w:ascii="Arial" w:eastAsia="Arial" w:hAnsi="Arial" w:cs="Arial"/>
          <w:sz w:val="22"/>
          <w:szCs w:val="22"/>
        </w:rPr>
        <w:t xml:space="preserve"> fields are based on the rounded value</w:t>
      </w:r>
      <w:r w:rsidR="36B48908" w:rsidRPr="00614BF0">
        <w:rPr>
          <w:rFonts w:ascii="Arial" w:eastAsia="Arial" w:hAnsi="Arial" w:cs="Arial"/>
          <w:sz w:val="22"/>
          <w:szCs w:val="22"/>
        </w:rPr>
        <w:t>s</w:t>
      </w:r>
      <w:r w:rsidR="6B6C7B89" w:rsidRPr="00614BF0">
        <w:rPr>
          <w:rFonts w:ascii="Arial" w:eastAsia="Arial" w:hAnsi="Arial" w:cs="Arial"/>
          <w:sz w:val="22"/>
          <w:szCs w:val="22"/>
        </w:rPr>
        <w:t>.</w:t>
      </w:r>
      <w:r w:rsidR="3773628E" w:rsidRPr="00614BF0">
        <w:rPr>
          <w:rFonts w:ascii="Arial" w:eastAsia="Arial" w:hAnsi="Arial" w:cs="Arial"/>
          <w:sz w:val="22"/>
          <w:szCs w:val="22"/>
        </w:rPr>
        <w:t xml:space="preserve"> </w:t>
      </w:r>
      <w:r w:rsidR="2C80627E" w:rsidRPr="00614BF0">
        <w:rPr>
          <w:rFonts w:ascii="Arial" w:eastAsia="Arial" w:hAnsi="Arial" w:cs="Arial"/>
          <w:sz w:val="22"/>
          <w:szCs w:val="22"/>
        </w:rPr>
        <w:t>This includes all visits per 1000,</w:t>
      </w:r>
      <w:r w:rsidR="1257F04D" w:rsidRPr="00614BF0">
        <w:rPr>
          <w:rFonts w:ascii="Arial" w:eastAsia="Arial" w:hAnsi="Arial" w:cs="Arial"/>
          <w:sz w:val="22"/>
          <w:szCs w:val="22"/>
        </w:rPr>
        <w:t xml:space="preserve"> patients per 1000,</w:t>
      </w:r>
      <w:r w:rsidR="2C80627E" w:rsidRPr="00614BF0">
        <w:rPr>
          <w:rFonts w:ascii="Arial" w:eastAsia="Arial" w:hAnsi="Arial" w:cs="Arial"/>
          <w:sz w:val="22"/>
          <w:szCs w:val="22"/>
        </w:rPr>
        <w:t xml:space="preserve"> admission</w:t>
      </w:r>
      <w:r w:rsidR="774B7858" w:rsidRPr="00614BF0">
        <w:rPr>
          <w:rFonts w:ascii="Arial" w:eastAsia="Arial" w:hAnsi="Arial" w:cs="Arial"/>
          <w:sz w:val="22"/>
          <w:szCs w:val="22"/>
        </w:rPr>
        <w:t xml:space="preserve"> and Rx</w:t>
      </w:r>
      <w:r w:rsidR="2C80627E" w:rsidRPr="00614BF0">
        <w:rPr>
          <w:rFonts w:ascii="Arial" w:eastAsia="Arial" w:hAnsi="Arial" w:cs="Arial"/>
          <w:sz w:val="22"/>
          <w:szCs w:val="22"/>
        </w:rPr>
        <w:t xml:space="preserve"> days per 1000</w:t>
      </w:r>
      <w:r w:rsidR="048F3892" w:rsidRPr="00614BF0">
        <w:rPr>
          <w:rFonts w:ascii="Arial" w:eastAsia="Arial" w:hAnsi="Arial" w:cs="Arial"/>
          <w:sz w:val="22"/>
          <w:szCs w:val="22"/>
        </w:rPr>
        <w:t>,</w:t>
      </w:r>
      <w:r w:rsidR="2C80627E" w:rsidRPr="00614BF0">
        <w:rPr>
          <w:rFonts w:ascii="Arial" w:eastAsia="Arial" w:hAnsi="Arial" w:cs="Arial"/>
          <w:sz w:val="22"/>
          <w:szCs w:val="22"/>
        </w:rPr>
        <w:t xml:space="preserve"> and vaccination claims per 1000.</w:t>
      </w:r>
    </w:p>
    <w:p w14:paraId="0798B601" w14:textId="77777777" w:rsidR="008033B5" w:rsidRPr="00614BF0" w:rsidRDefault="008033B5" w:rsidP="00614BF0">
      <w:pPr>
        <w:spacing w:before="0" w:after="0" w:line="240" w:lineRule="auto"/>
        <w:rPr>
          <w:rFonts w:ascii="Arial" w:eastAsia="Arial" w:hAnsi="Arial" w:cs="Arial"/>
          <w:sz w:val="22"/>
          <w:szCs w:val="22"/>
        </w:rPr>
      </w:pPr>
    </w:p>
    <w:p w14:paraId="419FCBA3" w14:textId="33B2E4E9" w:rsidR="00B519A9" w:rsidRPr="00614BF0" w:rsidRDefault="00B519A9"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Primary Care In</w:t>
      </w:r>
      <w:r w:rsidR="004C7250" w:rsidRPr="00614BF0">
        <w:rPr>
          <w:rFonts w:ascii="Arial" w:eastAsia="Arial" w:hAnsi="Arial" w:cs="Arial"/>
          <w:b/>
          <w:bCs/>
          <w:sz w:val="22"/>
          <w:szCs w:val="22"/>
        </w:rPr>
        <w:t>-</w:t>
      </w:r>
      <w:r w:rsidRPr="00614BF0">
        <w:rPr>
          <w:rFonts w:ascii="Arial" w:eastAsia="Arial" w:hAnsi="Arial" w:cs="Arial"/>
          <w:b/>
          <w:bCs/>
          <w:sz w:val="22"/>
          <w:szCs w:val="22"/>
        </w:rPr>
        <w:t>Person Visits:</w:t>
      </w:r>
      <w:r w:rsidRPr="00614BF0">
        <w:rPr>
          <w:rFonts w:ascii="Arial" w:eastAsia="Arial" w:hAnsi="Arial" w:cs="Arial"/>
          <w:sz w:val="22"/>
          <w:szCs w:val="22"/>
        </w:rPr>
        <w:t xml:space="preserve"> an in</w:t>
      </w:r>
      <w:r w:rsidR="006E0A72" w:rsidRPr="00614BF0">
        <w:rPr>
          <w:rFonts w:ascii="Arial" w:eastAsia="Arial" w:hAnsi="Arial" w:cs="Arial"/>
          <w:sz w:val="22"/>
          <w:szCs w:val="22"/>
        </w:rPr>
        <w:t>-</w:t>
      </w:r>
      <w:r w:rsidRPr="00614BF0">
        <w:rPr>
          <w:rFonts w:ascii="Arial" w:eastAsia="Arial" w:hAnsi="Arial" w:cs="Arial"/>
          <w:sz w:val="22"/>
          <w:szCs w:val="22"/>
        </w:rPr>
        <w:t>person office visit that is classified as a primary care service</w:t>
      </w:r>
      <w:r w:rsidR="00663889" w:rsidRPr="00614BF0">
        <w:rPr>
          <w:rFonts w:ascii="Arial" w:eastAsia="Arial" w:hAnsi="Arial" w:cs="Arial"/>
          <w:sz w:val="22"/>
          <w:szCs w:val="22"/>
        </w:rPr>
        <w:t>,</w:t>
      </w:r>
      <w:r w:rsidRPr="00614BF0">
        <w:rPr>
          <w:rFonts w:ascii="Arial" w:eastAsia="Arial" w:hAnsi="Arial" w:cs="Arial"/>
          <w:sz w:val="22"/>
          <w:szCs w:val="22"/>
        </w:rPr>
        <w:t xml:space="preserve"> </w:t>
      </w:r>
      <w:r w:rsidR="006778E0" w:rsidRPr="00614BF0">
        <w:rPr>
          <w:rFonts w:ascii="Arial" w:eastAsia="Arial" w:hAnsi="Arial" w:cs="Arial"/>
          <w:sz w:val="22"/>
          <w:szCs w:val="22"/>
        </w:rPr>
        <w:t>based on procedure codes</w:t>
      </w:r>
      <w:r w:rsidR="00663889" w:rsidRPr="00614BF0">
        <w:rPr>
          <w:rFonts w:ascii="Arial" w:eastAsia="Arial" w:hAnsi="Arial" w:cs="Arial"/>
          <w:sz w:val="22"/>
          <w:szCs w:val="22"/>
        </w:rPr>
        <w:t>,</w:t>
      </w:r>
      <w:r w:rsidR="006778E0" w:rsidRPr="00614BF0">
        <w:rPr>
          <w:rFonts w:ascii="Arial" w:eastAsia="Arial" w:hAnsi="Arial" w:cs="Arial"/>
          <w:sz w:val="22"/>
          <w:szCs w:val="22"/>
        </w:rPr>
        <w:t xml:space="preserve"> </w:t>
      </w:r>
      <w:r w:rsidRPr="00614BF0">
        <w:rPr>
          <w:rFonts w:ascii="Arial" w:eastAsia="Arial" w:hAnsi="Arial" w:cs="Arial"/>
          <w:sz w:val="22"/>
          <w:szCs w:val="22"/>
        </w:rPr>
        <w:t>and is delivered by a provider who is classified as a primary care practitioner</w:t>
      </w:r>
      <w:r w:rsidR="00663889" w:rsidRPr="00614BF0">
        <w:rPr>
          <w:rFonts w:ascii="Arial" w:eastAsia="Arial" w:hAnsi="Arial" w:cs="Arial"/>
          <w:sz w:val="22"/>
          <w:szCs w:val="22"/>
        </w:rPr>
        <w:t>,</w:t>
      </w:r>
      <w:r w:rsidRPr="00614BF0">
        <w:rPr>
          <w:rFonts w:ascii="Arial" w:eastAsia="Arial" w:hAnsi="Arial" w:cs="Arial"/>
          <w:sz w:val="22"/>
          <w:szCs w:val="22"/>
        </w:rPr>
        <w:t xml:space="preserve"> based on taxonomy codes.   </w:t>
      </w:r>
    </w:p>
    <w:p w14:paraId="5D76A419" w14:textId="77777777" w:rsidR="00DA7DEE" w:rsidRPr="00614BF0" w:rsidRDefault="00DA7DEE" w:rsidP="00614BF0">
      <w:pPr>
        <w:spacing w:before="0" w:after="0" w:line="240" w:lineRule="auto"/>
        <w:rPr>
          <w:rFonts w:ascii="Arial" w:eastAsia="Arial" w:hAnsi="Arial" w:cs="Arial"/>
          <w:sz w:val="22"/>
          <w:szCs w:val="22"/>
        </w:rPr>
      </w:pPr>
    </w:p>
    <w:p w14:paraId="105AFBED" w14:textId="1F65D76C" w:rsidR="00DA7DEE" w:rsidRPr="00614BF0" w:rsidRDefault="00DA7DEE"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Primary Care Telehealth Visits</w:t>
      </w:r>
      <w:r w:rsidRPr="00614BF0">
        <w:rPr>
          <w:rFonts w:ascii="Arial" w:eastAsia="Arial" w:hAnsi="Arial" w:cs="Arial"/>
          <w:sz w:val="22"/>
          <w:szCs w:val="22"/>
        </w:rPr>
        <w:t>: an ambulatory telehealth service that is classified as a primary care service</w:t>
      </w:r>
      <w:r w:rsidR="00663889" w:rsidRPr="00614BF0">
        <w:rPr>
          <w:rFonts w:ascii="Arial" w:eastAsia="Arial" w:hAnsi="Arial" w:cs="Arial"/>
          <w:sz w:val="22"/>
          <w:szCs w:val="22"/>
        </w:rPr>
        <w:t>,</w:t>
      </w:r>
      <w:r w:rsidRPr="00614BF0">
        <w:rPr>
          <w:rFonts w:ascii="Arial" w:eastAsia="Arial" w:hAnsi="Arial" w:cs="Arial"/>
          <w:sz w:val="22"/>
          <w:szCs w:val="22"/>
        </w:rPr>
        <w:t xml:space="preserve"> </w:t>
      </w:r>
      <w:r w:rsidR="004E1A9F" w:rsidRPr="00614BF0">
        <w:rPr>
          <w:rFonts w:ascii="Arial" w:eastAsia="Arial" w:hAnsi="Arial" w:cs="Arial"/>
          <w:sz w:val="22"/>
          <w:szCs w:val="22"/>
        </w:rPr>
        <w:t>base</w:t>
      </w:r>
      <w:r w:rsidR="00663889" w:rsidRPr="00614BF0">
        <w:rPr>
          <w:rFonts w:ascii="Arial" w:eastAsia="Arial" w:hAnsi="Arial" w:cs="Arial"/>
          <w:sz w:val="22"/>
          <w:szCs w:val="22"/>
        </w:rPr>
        <w:t>d</w:t>
      </w:r>
      <w:r w:rsidR="004E1A9F" w:rsidRPr="00614BF0">
        <w:rPr>
          <w:rFonts w:ascii="Arial" w:eastAsia="Arial" w:hAnsi="Arial" w:cs="Arial"/>
          <w:sz w:val="22"/>
          <w:szCs w:val="22"/>
        </w:rPr>
        <w:t xml:space="preserve"> on procedure codes</w:t>
      </w:r>
      <w:r w:rsidR="006E0A72" w:rsidRPr="00614BF0">
        <w:rPr>
          <w:rFonts w:ascii="Arial" w:eastAsia="Arial" w:hAnsi="Arial" w:cs="Arial"/>
          <w:sz w:val="22"/>
          <w:szCs w:val="22"/>
        </w:rPr>
        <w:t>,</w:t>
      </w:r>
      <w:r w:rsidR="004E1A9F" w:rsidRPr="00614BF0">
        <w:rPr>
          <w:rFonts w:ascii="Arial" w:eastAsia="Arial" w:hAnsi="Arial" w:cs="Arial"/>
          <w:sz w:val="22"/>
          <w:szCs w:val="22"/>
        </w:rPr>
        <w:t xml:space="preserve"> </w:t>
      </w:r>
      <w:r w:rsidRPr="00614BF0">
        <w:rPr>
          <w:rFonts w:ascii="Arial" w:eastAsia="Arial" w:hAnsi="Arial" w:cs="Arial"/>
          <w:sz w:val="22"/>
          <w:szCs w:val="22"/>
        </w:rPr>
        <w:t>and is delivered by a provider who is classified as a primary care practitioner</w:t>
      </w:r>
      <w:r w:rsidR="006E0A72" w:rsidRPr="00614BF0">
        <w:rPr>
          <w:rFonts w:ascii="Arial" w:eastAsia="Arial" w:hAnsi="Arial" w:cs="Arial"/>
          <w:sz w:val="22"/>
          <w:szCs w:val="22"/>
        </w:rPr>
        <w:t>,</w:t>
      </w:r>
      <w:r w:rsidRPr="00614BF0">
        <w:rPr>
          <w:rFonts w:ascii="Arial" w:eastAsia="Arial" w:hAnsi="Arial" w:cs="Arial"/>
          <w:sz w:val="22"/>
          <w:szCs w:val="22"/>
        </w:rPr>
        <w:t xml:space="preserve"> based on taxonomy codes.  </w:t>
      </w:r>
    </w:p>
    <w:p w14:paraId="01B15E73" w14:textId="77777777" w:rsidR="004A1E87" w:rsidRPr="00614BF0" w:rsidRDefault="004A1E87" w:rsidP="00614BF0">
      <w:pPr>
        <w:spacing w:before="0" w:after="0" w:line="240" w:lineRule="auto"/>
        <w:rPr>
          <w:rFonts w:ascii="Arial" w:eastAsia="Arial" w:hAnsi="Arial" w:cs="Arial"/>
          <w:sz w:val="22"/>
          <w:szCs w:val="22"/>
        </w:rPr>
      </w:pPr>
    </w:p>
    <w:p w14:paraId="36EDB11C" w14:textId="5184B686" w:rsidR="0089686C" w:rsidRPr="00614BF0" w:rsidRDefault="0089686C"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lastRenderedPageBreak/>
        <w:t>Primary Care Patients</w:t>
      </w:r>
      <w:r w:rsidRPr="00614BF0">
        <w:rPr>
          <w:rFonts w:ascii="Arial" w:eastAsia="Arial" w:hAnsi="Arial" w:cs="Arial"/>
          <w:sz w:val="22"/>
          <w:szCs w:val="22"/>
        </w:rPr>
        <w:t>: members who receive a</w:t>
      </w:r>
      <w:r w:rsidR="004A1E87" w:rsidRPr="00614BF0">
        <w:rPr>
          <w:rFonts w:ascii="Arial" w:eastAsia="Arial" w:hAnsi="Arial" w:cs="Arial"/>
          <w:sz w:val="22"/>
          <w:szCs w:val="22"/>
        </w:rPr>
        <w:t xml:space="preserve">n </w:t>
      </w:r>
      <w:r w:rsidR="00832771" w:rsidRPr="00614BF0">
        <w:rPr>
          <w:rFonts w:ascii="Arial" w:eastAsia="Arial" w:hAnsi="Arial" w:cs="Arial"/>
          <w:sz w:val="22"/>
          <w:szCs w:val="22"/>
        </w:rPr>
        <w:t>in-person</w:t>
      </w:r>
      <w:r w:rsidR="004A1E87" w:rsidRPr="00614BF0">
        <w:rPr>
          <w:rFonts w:ascii="Arial" w:eastAsia="Arial" w:hAnsi="Arial" w:cs="Arial"/>
          <w:sz w:val="22"/>
          <w:szCs w:val="22"/>
        </w:rPr>
        <w:t xml:space="preserve"> or telehealth office visit</w:t>
      </w:r>
      <w:r w:rsidR="00C94C7B" w:rsidRPr="00614BF0">
        <w:rPr>
          <w:rFonts w:ascii="Arial" w:eastAsia="Arial" w:hAnsi="Arial" w:cs="Arial"/>
          <w:sz w:val="22"/>
          <w:szCs w:val="22"/>
        </w:rPr>
        <w:t xml:space="preserve"> that is classified as a primary care service</w:t>
      </w:r>
      <w:r w:rsidR="006E0A72" w:rsidRPr="00614BF0">
        <w:rPr>
          <w:rFonts w:ascii="Arial" w:eastAsia="Arial" w:hAnsi="Arial" w:cs="Arial"/>
          <w:sz w:val="22"/>
          <w:szCs w:val="22"/>
        </w:rPr>
        <w:t>,</w:t>
      </w:r>
      <w:r w:rsidR="00C94C7B" w:rsidRPr="00614BF0">
        <w:rPr>
          <w:rFonts w:ascii="Arial" w:eastAsia="Arial" w:hAnsi="Arial" w:cs="Arial"/>
          <w:sz w:val="22"/>
          <w:szCs w:val="22"/>
        </w:rPr>
        <w:t xml:space="preserve"> </w:t>
      </w:r>
      <w:r w:rsidR="006778E0" w:rsidRPr="00614BF0">
        <w:rPr>
          <w:rFonts w:ascii="Arial" w:eastAsia="Arial" w:hAnsi="Arial" w:cs="Arial"/>
          <w:sz w:val="22"/>
          <w:szCs w:val="22"/>
        </w:rPr>
        <w:t>based on procedure codes</w:t>
      </w:r>
      <w:r w:rsidR="006E0A72" w:rsidRPr="00614BF0">
        <w:rPr>
          <w:rFonts w:ascii="Arial" w:eastAsia="Arial" w:hAnsi="Arial" w:cs="Arial"/>
          <w:sz w:val="22"/>
          <w:szCs w:val="22"/>
        </w:rPr>
        <w:t>,</w:t>
      </w:r>
      <w:r w:rsidR="006778E0" w:rsidRPr="00614BF0">
        <w:rPr>
          <w:rFonts w:ascii="Arial" w:eastAsia="Arial" w:hAnsi="Arial" w:cs="Arial"/>
          <w:sz w:val="22"/>
          <w:szCs w:val="22"/>
        </w:rPr>
        <w:t xml:space="preserve"> </w:t>
      </w:r>
      <w:r w:rsidR="00C94C7B" w:rsidRPr="00614BF0">
        <w:rPr>
          <w:rFonts w:ascii="Arial" w:eastAsia="Arial" w:hAnsi="Arial" w:cs="Arial"/>
          <w:sz w:val="22"/>
          <w:szCs w:val="22"/>
        </w:rPr>
        <w:t>and</w:t>
      </w:r>
      <w:r w:rsidR="004A1E87" w:rsidRPr="00614BF0">
        <w:rPr>
          <w:rFonts w:ascii="Arial" w:eastAsia="Arial" w:hAnsi="Arial" w:cs="Arial"/>
          <w:sz w:val="22"/>
          <w:szCs w:val="22"/>
        </w:rPr>
        <w:t xml:space="preserve"> delivered by a provider who is classified as a primary care practitioner</w:t>
      </w:r>
      <w:r w:rsidR="006E0A72" w:rsidRPr="00614BF0">
        <w:rPr>
          <w:rFonts w:ascii="Arial" w:eastAsia="Arial" w:hAnsi="Arial" w:cs="Arial"/>
          <w:sz w:val="22"/>
          <w:szCs w:val="22"/>
        </w:rPr>
        <w:t>,</w:t>
      </w:r>
      <w:r w:rsidR="004A1E87" w:rsidRPr="00614BF0">
        <w:rPr>
          <w:rFonts w:ascii="Arial" w:eastAsia="Arial" w:hAnsi="Arial" w:cs="Arial"/>
          <w:sz w:val="22"/>
          <w:szCs w:val="22"/>
        </w:rPr>
        <w:t xml:space="preserve"> based on taxonomy codes.</w:t>
      </w:r>
      <w:r w:rsidR="00542CC0" w:rsidRPr="00614BF0">
        <w:rPr>
          <w:rFonts w:ascii="Arial" w:eastAsia="Arial" w:hAnsi="Arial" w:cs="Arial"/>
          <w:sz w:val="22"/>
          <w:szCs w:val="22"/>
        </w:rPr>
        <w:t xml:space="preserve"> </w:t>
      </w:r>
    </w:p>
    <w:p w14:paraId="4DE8AC4A" w14:textId="7BC07155" w:rsidR="1CB44818" w:rsidRPr="00614BF0" w:rsidRDefault="1CB44818" w:rsidP="00614BF0">
      <w:pPr>
        <w:spacing w:before="0" w:after="0" w:line="240" w:lineRule="auto"/>
        <w:rPr>
          <w:rFonts w:ascii="Arial" w:eastAsia="Arial" w:hAnsi="Arial" w:cs="Arial"/>
          <w:b/>
          <w:bCs/>
          <w:sz w:val="22"/>
          <w:szCs w:val="22"/>
        </w:rPr>
      </w:pPr>
    </w:p>
    <w:p w14:paraId="2C318CFB" w14:textId="20851F05" w:rsidR="004C7250" w:rsidRPr="00614BF0" w:rsidRDefault="004C7250"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Behavioral Health In-Person Visits</w:t>
      </w:r>
      <w:r w:rsidRPr="00614BF0">
        <w:rPr>
          <w:rFonts w:ascii="Arial" w:eastAsia="Arial" w:hAnsi="Arial" w:cs="Arial"/>
          <w:sz w:val="22"/>
          <w:szCs w:val="22"/>
        </w:rPr>
        <w:t>: an in</w:t>
      </w:r>
      <w:r w:rsidR="006E0A72" w:rsidRPr="00614BF0">
        <w:rPr>
          <w:rFonts w:ascii="Arial" w:eastAsia="Arial" w:hAnsi="Arial" w:cs="Arial"/>
          <w:sz w:val="22"/>
          <w:szCs w:val="22"/>
        </w:rPr>
        <w:t>-</w:t>
      </w:r>
      <w:r w:rsidRPr="00614BF0">
        <w:rPr>
          <w:rFonts w:ascii="Arial" w:eastAsia="Arial" w:hAnsi="Arial" w:cs="Arial"/>
          <w:sz w:val="22"/>
          <w:szCs w:val="22"/>
        </w:rPr>
        <w:t>person office visit that is classified as a behavioral health service</w:t>
      </w:r>
      <w:r w:rsidR="00022D80" w:rsidRPr="00614BF0">
        <w:rPr>
          <w:rFonts w:ascii="Arial" w:eastAsia="Arial" w:hAnsi="Arial" w:cs="Arial"/>
          <w:sz w:val="22"/>
          <w:szCs w:val="22"/>
        </w:rPr>
        <w:t>,</w:t>
      </w:r>
      <w:r w:rsidRPr="00614BF0">
        <w:rPr>
          <w:rFonts w:ascii="Arial" w:eastAsia="Arial" w:hAnsi="Arial" w:cs="Arial"/>
          <w:sz w:val="22"/>
          <w:szCs w:val="22"/>
        </w:rPr>
        <w:t xml:space="preserve"> </w:t>
      </w:r>
      <w:r w:rsidR="006778E0" w:rsidRPr="00614BF0">
        <w:rPr>
          <w:rFonts w:ascii="Arial" w:eastAsia="Arial" w:hAnsi="Arial" w:cs="Arial"/>
          <w:sz w:val="22"/>
          <w:szCs w:val="22"/>
        </w:rPr>
        <w:t>based on procedure codes</w:t>
      </w:r>
      <w:r w:rsidR="00022D80" w:rsidRPr="00614BF0">
        <w:rPr>
          <w:rFonts w:ascii="Arial" w:eastAsia="Arial" w:hAnsi="Arial" w:cs="Arial"/>
          <w:sz w:val="22"/>
          <w:szCs w:val="22"/>
        </w:rPr>
        <w:t>,</w:t>
      </w:r>
      <w:r w:rsidR="006778E0" w:rsidRPr="00614BF0">
        <w:rPr>
          <w:rFonts w:ascii="Arial" w:eastAsia="Arial" w:hAnsi="Arial" w:cs="Arial"/>
          <w:sz w:val="22"/>
          <w:szCs w:val="22"/>
        </w:rPr>
        <w:t xml:space="preserve"> </w:t>
      </w:r>
      <w:r w:rsidRPr="00614BF0">
        <w:rPr>
          <w:rFonts w:ascii="Arial" w:eastAsia="Arial" w:hAnsi="Arial" w:cs="Arial"/>
          <w:sz w:val="22"/>
          <w:szCs w:val="22"/>
        </w:rPr>
        <w:t>and is delivered by a provider who is classified as a behavioral health practitioner</w:t>
      </w:r>
      <w:r w:rsidR="00022D80" w:rsidRPr="00614BF0">
        <w:rPr>
          <w:rFonts w:ascii="Arial" w:eastAsia="Arial" w:hAnsi="Arial" w:cs="Arial"/>
          <w:sz w:val="22"/>
          <w:szCs w:val="22"/>
        </w:rPr>
        <w:t xml:space="preserve">, </w:t>
      </w:r>
      <w:r w:rsidRPr="00614BF0">
        <w:rPr>
          <w:rFonts w:ascii="Arial" w:eastAsia="Arial" w:hAnsi="Arial" w:cs="Arial"/>
          <w:sz w:val="22"/>
          <w:szCs w:val="22"/>
        </w:rPr>
        <w:t>based on taxonomy codes. Note that in</w:t>
      </w:r>
      <w:r w:rsidR="00C50C8D" w:rsidRPr="00614BF0">
        <w:rPr>
          <w:rFonts w:ascii="Arial" w:eastAsia="Arial" w:hAnsi="Arial" w:cs="Arial"/>
          <w:sz w:val="22"/>
          <w:szCs w:val="22"/>
        </w:rPr>
        <w:t>-</w:t>
      </w:r>
      <w:r w:rsidRPr="00614BF0">
        <w:rPr>
          <w:rFonts w:ascii="Arial" w:eastAsia="Arial" w:hAnsi="Arial" w:cs="Arial"/>
          <w:sz w:val="22"/>
          <w:szCs w:val="22"/>
        </w:rPr>
        <w:t>person behavioral services delivered by a primary care practitioner, or any other non-behavioral health practitioner, are not included in this definition. </w:t>
      </w:r>
      <w:r w:rsidR="01E01A8F" w:rsidRPr="00614BF0">
        <w:rPr>
          <w:rFonts w:ascii="Arial" w:eastAsia="Arial" w:hAnsi="Arial" w:cs="Arial"/>
          <w:sz w:val="22"/>
          <w:szCs w:val="22"/>
        </w:rPr>
        <w:t xml:space="preserve"> </w:t>
      </w:r>
    </w:p>
    <w:p w14:paraId="21787FB4" w14:textId="77777777" w:rsidR="004C7250" w:rsidRPr="00614BF0" w:rsidRDefault="004C7250" w:rsidP="00614BF0">
      <w:pPr>
        <w:spacing w:before="0" w:after="0" w:line="240" w:lineRule="auto"/>
        <w:rPr>
          <w:rFonts w:ascii="Arial" w:eastAsia="Arial" w:hAnsi="Arial" w:cs="Arial"/>
          <w:sz w:val="22"/>
          <w:szCs w:val="22"/>
        </w:rPr>
      </w:pPr>
    </w:p>
    <w:p w14:paraId="651B582B" w14:textId="7A5E97D3" w:rsidR="003532A2" w:rsidRPr="00614BF0" w:rsidRDefault="003532A2"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Behavioral Health Telehealth Visits</w:t>
      </w:r>
      <w:r w:rsidR="00300F75" w:rsidRPr="00614BF0">
        <w:rPr>
          <w:rFonts w:ascii="Arial" w:eastAsia="Arial" w:hAnsi="Arial" w:cs="Arial"/>
          <w:sz w:val="22"/>
          <w:szCs w:val="22"/>
        </w:rPr>
        <w:t xml:space="preserve">: </w:t>
      </w:r>
      <w:r w:rsidRPr="00614BF0">
        <w:rPr>
          <w:rFonts w:ascii="Arial" w:eastAsia="Arial" w:hAnsi="Arial" w:cs="Arial"/>
          <w:sz w:val="22"/>
          <w:szCs w:val="22"/>
        </w:rPr>
        <w:t>an ambulatory telehealth service that is classified as a behavioral health service</w:t>
      </w:r>
      <w:r w:rsidR="00022D80" w:rsidRPr="00614BF0">
        <w:rPr>
          <w:rFonts w:ascii="Arial" w:eastAsia="Arial" w:hAnsi="Arial" w:cs="Arial"/>
          <w:sz w:val="22"/>
          <w:szCs w:val="22"/>
        </w:rPr>
        <w:t>,</w:t>
      </w:r>
      <w:r w:rsidRPr="00614BF0">
        <w:rPr>
          <w:rFonts w:ascii="Arial" w:eastAsia="Arial" w:hAnsi="Arial" w:cs="Arial"/>
          <w:sz w:val="22"/>
          <w:szCs w:val="22"/>
        </w:rPr>
        <w:t xml:space="preserve"> </w:t>
      </w:r>
      <w:r w:rsidR="00611082" w:rsidRPr="00614BF0">
        <w:rPr>
          <w:rFonts w:ascii="Arial" w:eastAsia="Arial" w:hAnsi="Arial" w:cs="Arial"/>
          <w:sz w:val="22"/>
          <w:szCs w:val="22"/>
        </w:rPr>
        <w:t>based on procedure codes</w:t>
      </w:r>
      <w:r w:rsidR="00022D80" w:rsidRPr="00614BF0">
        <w:rPr>
          <w:rFonts w:ascii="Arial" w:eastAsia="Arial" w:hAnsi="Arial" w:cs="Arial"/>
          <w:sz w:val="22"/>
          <w:szCs w:val="22"/>
        </w:rPr>
        <w:t>,</w:t>
      </w:r>
      <w:r w:rsidR="00611082" w:rsidRPr="00614BF0">
        <w:rPr>
          <w:rFonts w:ascii="Arial" w:eastAsia="Arial" w:hAnsi="Arial" w:cs="Arial"/>
          <w:sz w:val="22"/>
          <w:szCs w:val="22"/>
        </w:rPr>
        <w:t xml:space="preserve"> </w:t>
      </w:r>
      <w:r w:rsidRPr="00614BF0">
        <w:rPr>
          <w:rFonts w:ascii="Arial" w:eastAsia="Arial" w:hAnsi="Arial" w:cs="Arial"/>
          <w:sz w:val="22"/>
          <w:szCs w:val="22"/>
        </w:rPr>
        <w:t>and is delivered by a provider who is classified as a behavioral health practitioner</w:t>
      </w:r>
      <w:r w:rsidR="00022D80" w:rsidRPr="00614BF0">
        <w:rPr>
          <w:rFonts w:ascii="Arial" w:eastAsia="Arial" w:hAnsi="Arial" w:cs="Arial"/>
          <w:sz w:val="22"/>
          <w:szCs w:val="22"/>
        </w:rPr>
        <w:t>,</w:t>
      </w:r>
      <w:r w:rsidRPr="00614BF0">
        <w:rPr>
          <w:rFonts w:ascii="Arial" w:eastAsia="Arial" w:hAnsi="Arial" w:cs="Arial"/>
          <w:sz w:val="22"/>
          <w:szCs w:val="22"/>
        </w:rPr>
        <w:t xml:space="preserve"> based on taxonomy codes. Note that behavioral telehealth services delivered by a primary care practitioner, or any other non</w:t>
      </w:r>
      <w:r w:rsidR="00C60B95" w:rsidRPr="00614BF0">
        <w:rPr>
          <w:rFonts w:ascii="Arial" w:eastAsia="Arial" w:hAnsi="Arial" w:cs="Arial"/>
          <w:sz w:val="22"/>
          <w:szCs w:val="22"/>
        </w:rPr>
        <w:t>-</w:t>
      </w:r>
      <w:r w:rsidRPr="00614BF0">
        <w:rPr>
          <w:rFonts w:ascii="Arial" w:eastAsia="Arial" w:hAnsi="Arial" w:cs="Arial"/>
          <w:sz w:val="22"/>
          <w:szCs w:val="22"/>
        </w:rPr>
        <w:t>behavioral health practitioner, are not included in this definition.    </w:t>
      </w:r>
    </w:p>
    <w:p w14:paraId="7CF9430F" w14:textId="7B2052DD" w:rsidR="003532A2" w:rsidRPr="00614BF0" w:rsidRDefault="003532A2" w:rsidP="00614BF0">
      <w:pPr>
        <w:spacing w:before="0" w:after="0" w:line="240" w:lineRule="auto"/>
        <w:rPr>
          <w:rFonts w:ascii="Arial" w:eastAsia="Arial" w:hAnsi="Arial" w:cs="Arial"/>
          <w:sz w:val="22"/>
          <w:szCs w:val="22"/>
        </w:rPr>
      </w:pPr>
      <w:r w:rsidRPr="00614BF0">
        <w:rPr>
          <w:rFonts w:ascii="Arial" w:eastAsia="Arial" w:hAnsi="Arial" w:cs="Arial"/>
          <w:sz w:val="22"/>
          <w:szCs w:val="22"/>
        </w:rPr>
        <w:t>  </w:t>
      </w:r>
    </w:p>
    <w:p w14:paraId="018E8100" w14:textId="4FCB1B8D" w:rsidR="003532A2" w:rsidRPr="00614BF0" w:rsidRDefault="00431D55"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Behavioral Health Patients</w:t>
      </w:r>
      <w:r w:rsidRPr="00614BF0">
        <w:rPr>
          <w:rFonts w:ascii="Arial" w:eastAsia="Arial" w:hAnsi="Arial" w:cs="Arial"/>
          <w:sz w:val="22"/>
          <w:szCs w:val="22"/>
        </w:rPr>
        <w:t xml:space="preserve">: members who receive an </w:t>
      </w:r>
      <w:r w:rsidR="007668ED" w:rsidRPr="00614BF0">
        <w:rPr>
          <w:rFonts w:ascii="Arial" w:eastAsia="Arial" w:hAnsi="Arial" w:cs="Arial"/>
          <w:sz w:val="22"/>
          <w:szCs w:val="22"/>
        </w:rPr>
        <w:t>in-person</w:t>
      </w:r>
      <w:r w:rsidRPr="00614BF0">
        <w:rPr>
          <w:rFonts w:ascii="Arial" w:eastAsia="Arial" w:hAnsi="Arial" w:cs="Arial"/>
          <w:sz w:val="22"/>
          <w:szCs w:val="22"/>
        </w:rPr>
        <w:t xml:space="preserve"> or telehealth</w:t>
      </w:r>
      <w:r w:rsidR="00930362" w:rsidRPr="00614BF0">
        <w:rPr>
          <w:rFonts w:ascii="Arial" w:eastAsia="Arial" w:hAnsi="Arial" w:cs="Arial"/>
          <w:sz w:val="22"/>
          <w:szCs w:val="22"/>
        </w:rPr>
        <w:t xml:space="preserve"> service</w:t>
      </w:r>
      <w:r w:rsidR="0079495E" w:rsidRPr="00614BF0">
        <w:rPr>
          <w:rFonts w:ascii="Arial" w:eastAsia="Arial" w:hAnsi="Arial" w:cs="Arial"/>
          <w:sz w:val="22"/>
          <w:szCs w:val="22"/>
        </w:rPr>
        <w:t>,</w:t>
      </w:r>
      <w:r w:rsidR="00930362" w:rsidRPr="00614BF0">
        <w:rPr>
          <w:rFonts w:ascii="Arial" w:eastAsia="Arial" w:hAnsi="Arial" w:cs="Arial"/>
          <w:sz w:val="22"/>
          <w:szCs w:val="22"/>
        </w:rPr>
        <w:t xml:space="preserve"> </w:t>
      </w:r>
      <w:r w:rsidR="00611082" w:rsidRPr="00614BF0">
        <w:rPr>
          <w:rFonts w:ascii="Arial" w:eastAsia="Arial" w:hAnsi="Arial" w:cs="Arial"/>
          <w:sz w:val="22"/>
          <w:szCs w:val="22"/>
        </w:rPr>
        <w:t xml:space="preserve">based on procedure codes, </w:t>
      </w:r>
      <w:r w:rsidR="00930362" w:rsidRPr="00614BF0">
        <w:rPr>
          <w:rFonts w:ascii="Arial" w:eastAsia="Arial" w:hAnsi="Arial" w:cs="Arial"/>
          <w:sz w:val="22"/>
          <w:szCs w:val="22"/>
        </w:rPr>
        <w:t>that is classified as a behavioral health service and is delivered by a provider who is classified as a behavioral health practitioner</w:t>
      </w:r>
      <w:r w:rsidR="0079495E" w:rsidRPr="00614BF0">
        <w:rPr>
          <w:rFonts w:ascii="Arial" w:eastAsia="Arial" w:hAnsi="Arial" w:cs="Arial"/>
          <w:sz w:val="22"/>
          <w:szCs w:val="22"/>
        </w:rPr>
        <w:t>,</w:t>
      </w:r>
      <w:r w:rsidR="00930362" w:rsidRPr="00614BF0">
        <w:rPr>
          <w:rFonts w:ascii="Arial" w:eastAsia="Arial" w:hAnsi="Arial" w:cs="Arial"/>
          <w:sz w:val="22"/>
          <w:szCs w:val="22"/>
        </w:rPr>
        <w:t xml:space="preserve"> based on taxonomy codes. </w:t>
      </w:r>
    </w:p>
    <w:p w14:paraId="588B3E0B" w14:textId="25F604B6" w:rsidR="00842A34" w:rsidRPr="00614BF0" w:rsidRDefault="003532A2" w:rsidP="00614BF0">
      <w:pPr>
        <w:spacing w:before="0" w:after="0" w:line="240" w:lineRule="auto"/>
        <w:rPr>
          <w:rFonts w:ascii="Arial" w:eastAsia="Arial" w:hAnsi="Arial" w:cs="Arial"/>
          <w:b/>
          <w:bCs/>
          <w:sz w:val="22"/>
          <w:szCs w:val="22"/>
        </w:rPr>
      </w:pPr>
      <w:r w:rsidRPr="00614BF0">
        <w:rPr>
          <w:rFonts w:ascii="Arial" w:eastAsia="Arial" w:hAnsi="Arial" w:cs="Arial"/>
          <w:sz w:val="22"/>
          <w:szCs w:val="22"/>
        </w:rPr>
        <w:t> </w:t>
      </w:r>
    </w:p>
    <w:p w14:paraId="3BD833DE" w14:textId="2B486A66" w:rsidR="00150A3F" w:rsidRPr="00614BF0" w:rsidRDefault="0040684A"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 xml:space="preserve">Specialist </w:t>
      </w:r>
      <w:r w:rsidR="004205BA" w:rsidRPr="00614BF0">
        <w:rPr>
          <w:rFonts w:ascii="Arial" w:eastAsia="Arial" w:hAnsi="Arial" w:cs="Arial"/>
          <w:b/>
          <w:bCs/>
          <w:sz w:val="22"/>
          <w:szCs w:val="22"/>
        </w:rPr>
        <w:t>Office Visits</w:t>
      </w:r>
      <w:r w:rsidR="00403D30" w:rsidRPr="00614BF0">
        <w:rPr>
          <w:rFonts w:ascii="Arial" w:eastAsia="Arial" w:hAnsi="Arial" w:cs="Arial"/>
          <w:b/>
          <w:bCs/>
          <w:sz w:val="22"/>
          <w:szCs w:val="22"/>
        </w:rPr>
        <w:t xml:space="preserve">: </w:t>
      </w:r>
      <w:r w:rsidR="004205BA" w:rsidRPr="00614BF0">
        <w:rPr>
          <w:rFonts w:ascii="Arial" w:eastAsia="Arial" w:hAnsi="Arial" w:cs="Arial"/>
          <w:sz w:val="22"/>
          <w:szCs w:val="22"/>
        </w:rPr>
        <w:t xml:space="preserve">the average number of professional office visits constrained to </w:t>
      </w:r>
      <w:r w:rsidR="2F36700B" w:rsidRPr="00614BF0">
        <w:rPr>
          <w:rFonts w:ascii="Arial" w:eastAsia="Arial" w:hAnsi="Arial" w:cs="Arial"/>
          <w:sz w:val="22"/>
          <w:szCs w:val="22"/>
        </w:rPr>
        <w:t>s</w:t>
      </w:r>
      <w:r w:rsidR="004205BA" w:rsidRPr="00614BF0">
        <w:rPr>
          <w:rFonts w:ascii="Arial" w:eastAsia="Arial" w:hAnsi="Arial" w:cs="Arial"/>
          <w:sz w:val="22"/>
          <w:szCs w:val="22"/>
        </w:rPr>
        <w:t xml:space="preserve">pecialists based on </w:t>
      </w:r>
      <w:r w:rsidR="4CB5D201" w:rsidRPr="00614BF0">
        <w:rPr>
          <w:rFonts w:ascii="Arial" w:eastAsia="Arial" w:hAnsi="Arial" w:cs="Arial"/>
          <w:sz w:val="22"/>
          <w:szCs w:val="22"/>
        </w:rPr>
        <w:t>p</w:t>
      </w:r>
      <w:r w:rsidR="004205BA" w:rsidRPr="00614BF0">
        <w:rPr>
          <w:rFonts w:ascii="Arial" w:eastAsia="Arial" w:hAnsi="Arial" w:cs="Arial"/>
          <w:sz w:val="22"/>
          <w:szCs w:val="22"/>
        </w:rPr>
        <w:t xml:space="preserve">rovider </w:t>
      </w:r>
      <w:r w:rsidR="7613CB79" w:rsidRPr="00614BF0">
        <w:rPr>
          <w:rFonts w:ascii="Arial" w:eastAsia="Arial" w:hAnsi="Arial" w:cs="Arial"/>
          <w:sz w:val="22"/>
          <w:szCs w:val="22"/>
        </w:rPr>
        <w:t>t</w:t>
      </w:r>
      <w:r w:rsidR="004205BA" w:rsidRPr="00614BF0">
        <w:rPr>
          <w:rFonts w:ascii="Arial" w:eastAsia="Arial" w:hAnsi="Arial" w:cs="Arial"/>
          <w:sz w:val="22"/>
          <w:szCs w:val="22"/>
        </w:rPr>
        <w:t>ype</w:t>
      </w:r>
      <w:r w:rsidR="00B06B9B" w:rsidRPr="00614BF0">
        <w:rPr>
          <w:rFonts w:ascii="Arial" w:eastAsia="Arial" w:hAnsi="Arial" w:cs="Arial"/>
          <w:sz w:val="22"/>
          <w:szCs w:val="22"/>
        </w:rPr>
        <w:t>.</w:t>
      </w:r>
      <w:r w:rsidR="004205BA" w:rsidRPr="00614BF0">
        <w:rPr>
          <w:rFonts w:ascii="Arial" w:eastAsia="Arial" w:hAnsi="Arial" w:cs="Arial"/>
          <w:sz w:val="22"/>
          <w:szCs w:val="22"/>
        </w:rPr>
        <w:t xml:space="preserve"> </w:t>
      </w:r>
      <w:r w:rsidR="6FD2822C" w:rsidRPr="00614BF0">
        <w:rPr>
          <w:rFonts w:ascii="Arial" w:eastAsia="Arial" w:hAnsi="Arial" w:cs="Arial"/>
          <w:sz w:val="22"/>
          <w:szCs w:val="22"/>
        </w:rPr>
        <w:t>This is a s</w:t>
      </w:r>
      <w:r w:rsidR="004205BA" w:rsidRPr="00614BF0">
        <w:rPr>
          <w:rFonts w:ascii="Arial" w:eastAsia="Arial" w:hAnsi="Arial" w:cs="Arial"/>
          <w:sz w:val="22"/>
          <w:szCs w:val="22"/>
        </w:rPr>
        <w:t xml:space="preserve">tandard office visit metric constrained by provider taxonomy that </w:t>
      </w:r>
      <w:r w:rsidR="3B99A025" w:rsidRPr="00614BF0">
        <w:rPr>
          <w:rFonts w:ascii="Arial" w:eastAsia="Arial" w:hAnsi="Arial" w:cs="Arial"/>
          <w:sz w:val="22"/>
          <w:szCs w:val="22"/>
        </w:rPr>
        <w:t xml:space="preserve">excludes </w:t>
      </w:r>
      <w:r w:rsidR="004205BA" w:rsidRPr="00614BF0">
        <w:rPr>
          <w:rFonts w:ascii="Arial" w:eastAsia="Arial" w:hAnsi="Arial" w:cs="Arial"/>
          <w:sz w:val="22"/>
          <w:szCs w:val="22"/>
        </w:rPr>
        <w:t>primary care</w:t>
      </w:r>
      <w:r w:rsidR="00842A34" w:rsidRPr="00614BF0">
        <w:rPr>
          <w:rFonts w:ascii="Arial" w:eastAsia="Arial" w:hAnsi="Arial" w:cs="Arial"/>
          <w:sz w:val="22"/>
          <w:szCs w:val="22"/>
        </w:rPr>
        <w:t xml:space="preserve"> and</w:t>
      </w:r>
      <w:r w:rsidR="4D2F83F6" w:rsidRPr="00614BF0">
        <w:rPr>
          <w:rFonts w:ascii="Arial" w:eastAsia="Arial" w:hAnsi="Arial" w:cs="Arial"/>
          <w:sz w:val="22"/>
          <w:szCs w:val="22"/>
        </w:rPr>
        <w:t xml:space="preserve"> </w:t>
      </w:r>
      <w:r w:rsidR="5CF81DF7" w:rsidRPr="00614BF0">
        <w:rPr>
          <w:rFonts w:ascii="Arial" w:eastAsia="Arial" w:hAnsi="Arial" w:cs="Arial"/>
          <w:sz w:val="22"/>
          <w:szCs w:val="22"/>
        </w:rPr>
        <w:t>Mental Health Services Act</w:t>
      </w:r>
      <w:r w:rsidR="4D2F83F6" w:rsidRPr="00614BF0">
        <w:rPr>
          <w:rFonts w:ascii="Arial" w:eastAsia="Arial" w:hAnsi="Arial" w:cs="Arial"/>
          <w:sz w:val="22"/>
          <w:szCs w:val="22"/>
        </w:rPr>
        <w:t xml:space="preserve"> </w:t>
      </w:r>
      <w:r w:rsidR="79020E0E" w:rsidRPr="00614BF0">
        <w:rPr>
          <w:rFonts w:ascii="Arial" w:eastAsia="Arial" w:hAnsi="Arial" w:cs="Arial"/>
          <w:sz w:val="22"/>
          <w:szCs w:val="22"/>
        </w:rPr>
        <w:t>(</w:t>
      </w:r>
      <w:r w:rsidR="004205BA" w:rsidRPr="00614BF0">
        <w:rPr>
          <w:rFonts w:ascii="Arial" w:eastAsia="Arial" w:hAnsi="Arial" w:cs="Arial"/>
          <w:sz w:val="22"/>
          <w:szCs w:val="22"/>
        </w:rPr>
        <w:t>MHSA</w:t>
      </w:r>
      <w:r w:rsidR="20893667" w:rsidRPr="00614BF0">
        <w:rPr>
          <w:rFonts w:ascii="Arial" w:eastAsia="Arial" w:hAnsi="Arial" w:cs="Arial"/>
          <w:sz w:val="22"/>
          <w:szCs w:val="22"/>
        </w:rPr>
        <w:t>)</w:t>
      </w:r>
      <w:r w:rsidR="2FA8FA31" w:rsidRPr="00614BF0">
        <w:rPr>
          <w:rFonts w:ascii="Arial" w:eastAsia="Arial" w:hAnsi="Arial" w:cs="Arial"/>
          <w:sz w:val="22"/>
          <w:szCs w:val="22"/>
        </w:rPr>
        <w:t xml:space="preserve"> claims</w:t>
      </w:r>
      <w:r w:rsidR="00842A34" w:rsidRPr="00614BF0">
        <w:rPr>
          <w:rFonts w:ascii="Arial" w:eastAsia="Arial" w:hAnsi="Arial" w:cs="Arial"/>
          <w:sz w:val="22"/>
          <w:szCs w:val="22"/>
        </w:rPr>
        <w:t xml:space="preserve"> but includes</w:t>
      </w:r>
      <w:r w:rsidR="52A9A0FD" w:rsidRPr="00614BF0">
        <w:rPr>
          <w:rFonts w:ascii="Arial" w:eastAsia="Arial" w:hAnsi="Arial" w:cs="Arial"/>
          <w:sz w:val="22"/>
          <w:szCs w:val="22"/>
        </w:rPr>
        <w:t xml:space="preserve"> Obstetrician-Gynecologist</w:t>
      </w:r>
      <w:r w:rsidR="004205BA" w:rsidRPr="00614BF0">
        <w:rPr>
          <w:rFonts w:ascii="Arial" w:eastAsia="Arial" w:hAnsi="Arial" w:cs="Arial"/>
          <w:sz w:val="22"/>
          <w:szCs w:val="22"/>
        </w:rPr>
        <w:t xml:space="preserve"> </w:t>
      </w:r>
      <w:r w:rsidR="69538C54" w:rsidRPr="00614BF0">
        <w:rPr>
          <w:rFonts w:ascii="Arial" w:eastAsia="Arial" w:hAnsi="Arial" w:cs="Arial"/>
          <w:sz w:val="22"/>
          <w:szCs w:val="22"/>
        </w:rPr>
        <w:t>(</w:t>
      </w:r>
      <w:r w:rsidR="00B06B9B" w:rsidRPr="00614BF0">
        <w:rPr>
          <w:rFonts w:ascii="Arial" w:eastAsia="Arial" w:hAnsi="Arial" w:cs="Arial"/>
          <w:sz w:val="22"/>
          <w:szCs w:val="22"/>
        </w:rPr>
        <w:t>OB</w:t>
      </w:r>
      <w:r w:rsidR="004C426E" w:rsidRPr="00614BF0">
        <w:rPr>
          <w:rFonts w:ascii="Arial" w:eastAsia="Arial" w:hAnsi="Arial" w:cs="Arial"/>
          <w:sz w:val="22"/>
          <w:szCs w:val="22"/>
        </w:rPr>
        <w:t>/</w:t>
      </w:r>
      <w:r w:rsidR="00B06B9B" w:rsidRPr="00614BF0">
        <w:rPr>
          <w:rFonts w:ascii="Arial" w:eastAsia="Arial" w:hAnsi="Arial" w:cs="Arial"/>
          <w:sz w:val="22"/>
          <w:szCs w:val="22"/>
        </w:rPr>
        <w:t>GYN</w:t>
      </w:r>
      <w:r w:rsidR="367A8CBC" w:rsidRPr="00614BF0">
        <w:rPr>
          <w:rFonts w:ascii="Arial" w:eastAsia="Arial" w:hAnsi="Arial" w:cs="Arial"/>
          <w:sz w:val="22"/>
          <w:szCs w:val="22"/>
        </w:rPr>
        <w:t>)</w:t>
      </w:r>
      <w:r w:rsidR="2775BDD4" w:rsidRPr="00614BF0">
        <w:rPr>
          <w:rFonts w:ascii="Arial" w:eastAsia="Arial" w:hAnsi="Arial" w:cs="Arial"/>
          <w:sz w:val="22"/>
          <w:szCs w:val="22"/>
        </w:rPr>
        <w:t xml:space="preserve"> claims</w:t>
      </w:r>
      <w:r w:rsidR="00842A34" w:rsidRPr="00614BF0">
        <w:rPr>
          <w:rFonts w:ascii="Arial" w:eastAsia="Arial" w:hAnsi="Arial" w:cs="Arial"/>
          <w:sz w:val="22"/>
          <w:szCs w:val="22"/>
        </w:rPr>
        <w:t>.</w:t>
      </w:r>
    </w:p>
    <w:p w14:paraId="185F5852" w14:textId="77777777" w:rsidR="00686A26" w:rsidRPr="00614BF0" w:rsidRDefault="00686A26" w:rsidP="00614BF0">
      <w:pPr>
        <w:spacing w:before="0" w:after="0" w:line="240" w:lineRule="auto"/>
        <w:rPr>
          <w:rFonts w:ascii="Arial" w:eastAsia="Arial" w:hAnsi="Arial" w:cs="Arial"/>
          <w:b/>
          <w:bCs/>
          <w:sz w:val="22"/>
          <w:szCs w:val="22"/>
        </w:rPr>
      </w:pPr>
    </w:p>
    <w:p w14:paraId="5A03A10B" w14:textId="3C32A17F" w:rsidR="008C5154" w:rsidRPr="00614BF0" w:rsidRDefault="153F93FE"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 xml:space="preserve">Ambulatory </w:t>
      </w:r>
      <w:r w:rsidR="3F0521EA" w:rsidRPr="00614BF0">
        <w:rPr>
          <w:rFonts w:ascii="Arial" w:eastAsia="Arial" w:hAnsi="Arial" w:cs="Arial"/>
          <w:b/>
          <w:bCs/>
          <w:sz w:val="22"/>
          <w:szCs w:val="22"/>
        </w:rPr>
        <w:t>ER Visits</w:t>
      </w:r>
      <w:r w:rsidR="00403D30" w:rsidRPr="00614BF0">
        <w:rPr>
          <w:rFonts w:ascii="Arial" w:eastAsia="Arial" w:hAnsi="Arial" w:cs="Arial"/>
          <w:b/>
          <w:bCs/>
          <w:sz w:val="22"/>
          <w:szCs w:val="22"/>
        </w:rPr>
        <w:t xml:space="preserve">: </w:t>
      </w:r>
      <w:r w:rsidR="7B4605CD" w:rsidRPr="00614BF0">
        <w:rPr>
          <w:rFonts w:ascii="Arial" w:eastAsia="Arial" w:hAnsi="Arial" w:cs="Arial"/>
          <w:sz w:val="22"/>
          <w:szCs w:val="22"/>
        </w:rPr>
        <w:t>the count of unique patient and service date combinations across all claims</w:t>
      </w:r>
      <w:r w:rsidR="44B8393E" w:rsidRPr="00614BF0">
        <w:rPr>
          <w:rFonts w:ascii="Arial" w:eastAsia="Arial" w:hAnsi="Arial" w:cs="Arial"/>
          <w:sz w:val="22"/>
          <w:szCs w:val="22"/>
        </w:rPr>
        <w:t xml:space="preserve"> for </w:t>
      </w:r>
      <w:r w:rsidR="67F29017" w:rsidRPr="00614BF0">
        <w:rPr>
          <w:rFonts w:ascii="Arial" w:eastAsia="Arial" w:hAnsi="Arial" w:cs="Arial"/>
          <w:sz w:val="22"/>
          <w:szCs w:val="22"/>
        </w:rPr>
        <w:t>Ambulatory Emergency Room Services</w:t>
      </w:r>
      <w:r w:rsidR="776DC084" w:rsidRPr="00614BF0">
        <w:rPr>
          <w:rFonts w:ascii="Arial" w:eastAsia="Arial" w:hAnsi="Arial" w:cs="Arial"/>
          <w:sz w:val="22"/>
          <w:szCs w:val="22"/>
        </w:rPr>
        <w:t xml:space="preserve"> that do not result in </w:t>
      </w:r>
      <w:r w:rsidR="38992577" w:rsidRPr="00614BF0">
        <w:rPr>
          <w:rFonts w:ascii="Arial" w:eastAsia="Arial" w:hAnsi="Arial" w:cs="Arial"/>
          <w:sz w:val="22"/>
          <w:szCs w:val="22"/>
        </w:rPr>
        <w:t>a</w:t>
      </w:r>
      <w:r w:rsidR="00C73594">
        <w:rPr>
          <w:rFonts w:ascii="Arial" w:eastAsia="Arial" w:hAnsi="Arial" w:cs="Arial"/>
          <w:sz w:val="22"/>
          <w:szCs w:val="22"/>
        </w:rPr>
        <w:t xml:space="preserve"> facility</w:t>
      </w:r>
      <w:r w:rsidR="776DC084" w:rsidRPr="00614BF0">
        <w:rPr>
          <w:rFonts w:ascii="Arial" w:eastAsia="Arial" w:hAnsi="Arial" w:cs="Arial"/>
          <w:sz w:val="22"/>
          <w:szCs w:val="22"/>
        </w:rPr>
        <w:t xml:space="preserve"> admission.</w:t>
      </w:r>
      <w:r w:rsidR="4001D03D" w:rsidRPr="00614BF0">
        <w:rPr>
          <w:rFonts w:ascii="Arial" w:eastAsia="Arial" w:hAnsi="Arial" w:cs="Arial"/>
          <w:sz w:val="22"/>
          <w:szCs w:val="22"/>
        </w:rPr>
        <w:t xml:space="preserve"> </w:t>
      </w:r>
      <w:r w:rsidR="67F29017" w:rsidRPr="00614BF0">
        <w:rPr>
          <w:rFonts w:ascii="Arial" w:eastAsia="Arial" w:hAnsi="Arial" w:cs="Arial"/>
          <w:sz w:val="22"/>
          <w:szCs w:val="22"/>
        </w:rPr>
        <w:t xml:space="preserve">Emergency Room Services identifies all outpatient services provided in an emergency room (ER) setting or involving the activation of an emergency trauma team. It is based on Service Categories, which identifies ER services from both facility and professional claims, using place of service codes, revenue codes, and procedure codes.  </w:t>
      </w:r>
    </w:p>
    <w:p w14:paraId="5F578334" w14:textId="77777777" w:rsidR="00F80AFE" w:rsidRPr="00614BF0" w:rsidRDefault="00F80AFE" w:rsidP="00614BF0">
      <w:pPr>
        <w:pStyle w:val="NoSpacing"/>
        <w:spacing w:before="0"/>
        <w:rPr>
          <w:sz w:val="22"/>
          <w:szCs w:val="22"/>
        </w:rPr>
      </w:pPr>
    </w:p>
    <w:p w14:paraId="379343BC" w14:textId="656A539F" w:rsidR="002C2787" w:rsidRPr="002C2787" w:rsidRDefault="004205BA" w:rsidP="002C2787">
      <w:pPr>
        <w:spacing w:before="0" w:after="0" w:line="240" w:lineRule="auto"/>
        <w:rPr>
          <w:rFonts w:ascii="Arial" w:eastAsia="Arial" w:hAnsi="Arial" w:cs="Arial"/>
          <w:sz w:val="22"/>
          <w:szCs w:val="22"/>
        </w:rPr>
      </w:pPr>
      <w:r w:rsidRPr="3FA16EDF">
        <w:rPr>
          <w:rFonts w:ascii="Arial" w:eastAsia="Arial" w:hAnsi="Arial" w:cs="Arial"/>
          <w:b/>
          <w:bCs/>
          <w:sz w:val="22"/>
          <w:szCs w:val="22"/>
        </w:rPr>
        <w:t>Admissions</w:t>
      </w:r>
      <w:r w:rsidR="00403D30" w:rsidRPr="3FA16EDF">
        <w:rPr>
          <w:rFonts w:ascii="Arial" w:eastAsia="Arial" w:hAnsi="Arial" w:cs="Arial"/>
          <w:b/>
          <w:bCs/>
          <w:sz w:val="22"/>
          <w:szCs w:val="22"/>
        </w:rPr>
        <w:t xml:space="preserve">: </w:t>
      </w:r>
      <w:r w:rsidR="00BA58E0" w:rsidRPr="3FA16EDF">
        <w:rPr>
          <w:rFonts w:ascii="Arial" w:eastAsia="Arial" w:hAnsi="Arial" w:cs="Arial"/>
          <w:sz w:val="22"/>
          <w:szCs w:val="22"/>
        </w:rPr>
        <w:t>the number of acute admissions</w:t>
      </w:r>
      <w:r w:rsidR="43144C0A" w:rsidRPr="3FA16EDF">
        <w:rPr>
          <w:rFonts w:ascii="Arial" w:eastAsia="Arial" w:hAnsi="Arial" w:cs="Arial"/>
          <w:sz w:val="22"/>
          <w:szCs w:val="22"/>
        </w:rPr>
        <w:t xml:space="preserve">, based </w:t>
      </w:r>
      <w:r w:rsidR="1BC722EE" w:rsidRPr="3FA16EDF">
        <w:rPr>
          <w:rFonts w:ascii="Arial" w:eastAsia="Arial" w:hAnsi="Arial" w:cs="Arial"/>
          <w:sz w:val="22"/>
          <w:szCs w:val="22"/>
        </w:rPr>
        <w:t>on Bill Type Code (UB-04)</w:t>
      </w:r>
      <w:r w:rsidR="00BA58E0" w:rsidRPr="3FA16EDF">
        <w:rPr>
          <w:rFonts w:ascii="Arial" w:eastAsia="Arial" w:hAnsi="Arial" w:cs="Arial"/>
          <w:sz w:val="22"/>
          <w:szCs w:val="22"/>
        </w:rPr>
        <w:t xml:space="preserve">. </w:t>
      </w:r>
      <w:r w:rsidR="000D01C6" w:rsidRPr="3FA16EDF">
        <w:rPr>
          <w:rFonts w:ascii="Arial" w:eastAsia="Arial" w:hAnsi="Arial" w:cs="Arial"/>
          <w:sz w:val="22"/>
          <w:szCs w:val="22"/>
        </w:rPr>
        <w:t xml:space="preserve">Acute admissions refer to hospital admissions for patients who require immediate and intensive medical care for a sudden onset of illness, injury, or other health condition. </w:t>
      </w:r>
      <w:r w:rsidR="00D741F3" w:rsidRPr="3FA16EDF">
        <w:rPr>
          <w:rFonts w:ascii="Arial" w:eastAsia="Arial" w:hAnsi="Arial" w:cs="Arial"/>
          <w:sz w:val="22"/>
          <w:szCs w:val="22"/>
        </w:rPr>
        <w:t>Acute inpatient settings include inpatient hospitals, birthing centers</w:t>
      </w:r>
      <w:r w:rsidR="00650C29" w:rsidRPr="3FA16EDF">
        <w:rPr>
          <w:rFonts w:ascii="Arial" w:eastAsia="Arial" w:hAnsi="Arial" w:cs="Arial"/>
          <w:sz w:val="22"/>
          <w:szCs w:val="22"/>
        </w:rPr>
        <w:t>, inpatient psychiatric facilities, and residential substance abuse treatment facilities.</w:t>
      </w:r>
      <w:r w:rsidR="0052526E" w:rsidRPr="3FA16EDF">
        <w:rPr>
          <w:rFonts w:ascii="Arial" w:eastAsia="Arial" w:hAnsi="Arial" w:cs="Arial"/>
          <w:sz w:val="22"/>
          <w:szCs w:val="22"/>
        </w:rPr>
        <w:t xml:space="preserve"> </w:t>
      </w:r>
      <w:r w:rsidR="002C2787" w:rsidRPr="3FA16EDF">
        <w:rPr>
          <w:rFonts w:ascii="Arial" w:eastAsia="Arial" w:hAnsi="Arial" w:cs="Arial"/>
          <w:sz w:val="22"/>
          <w:szCs w:val="22"/>
        </w:rPr>
        <w:t>Non-acute inpatient visits typically involve ongoing monitoring, therapy, or recovery support rather than immediate medical intervention for a severe or life-threatening condition</w:t>
      </w:r>
      <w:r w:rsidR="036C4CF5" w:rsidRPr="3FA16EDF">
        <w:rPr>
          <w:rFonts w:ascii="Arial" w:eastAsia="Arial" w:hAnsi="Arial" w:cs="Arial"/>
          <w:sz w:val="22"/>
          <w:szCs w:val="22"/>
        </w:rPr>
        <w:t>.</w:t>
      </w:r>
    </w:p>
    <w:p w14:paraId="58BAD5CB" w14:textId="77777777" w:rsidR="00686A26" w:rsidRPr="00614BF0" w:rsidRDefault="00686A26" w:rsidP="00614BF0">
      <w:pPr>
        <w:pStyle w:val="NoSpacing"/>
        <w:spacing w:before="0"/>
        <w:rPr>
          <w:sz w:val="22"/>
          <w:szCs w:val="22"/>
        </w:rPr>
      </w:pPr>
    </w:p>
    <w:p w14:paraId="6627DFF5" w14:textId="16239AB8" w:rsidR="008F5A8B" w:rsidRPr="00614BF0" w:rsidRDefault="004205BA"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Admission Days</w:t>
      </w:r>
      <w:r w:rsidR="00403D30" w:rsidRPr="00614BF0">
        <w:rPr>
          <w:rFonts w:ascii="Arial" w:eastAsia="Arial" w:hAnsi="Arial" w:cs="Arial"/>
          <w:sz w:val="22"/>
          <w:szCs w:val="22"/>
        </w:rPr>
        <w:t xml:space="preserve">: </w:t>
      </w:r>
      <w:r w:rsidRPr="00614BF0">
        <w:rPr>
          <w:rFonts w:ascii="Arial" w:eastAsia="Arial" w:hAnsi="Arial" w:cs="Arial"/>
          <w:sz w:val="22"/>
          <w:szCs w:val="22"/>
        </w:rPr>
        <w:t>the number of days from admiss</w:t>
      </w:r>
      <w:r w:rsidR="004F52EE" w:rsidRPr="00614BF0">
        <w:rPr>
          <w:rFonts w:ascii="Arial" w:eastAsia="Arial" w:hAnsi="Arial" w:cs="Arial"/>
          <w:sz w:val="22"/>
          <w:szCs w:val="22"/>
        </w:rPr>
        <w:t>ion</w:t>
      </w:r>
      <w:r w:rsidRPr="00614BF0">
        <w:rPr>
          <w:rFonts w:ascii="Arial" w:eastAsia="Arial" w:hAnsi="Arial" w:cs="Arial"/>
          <w:sz w:val="22"/>
          <w:szCs w:val="22"/>
        </w:rPr>
        <w:t>s</w:t>
      </w:r>
      <w:r w:rsidR="004F52EE" w:rsidRPr="00614BF0">
        <w:rPr>
          <w:rFonts w:ascii="Arial" w:eastAsia="Arial" w:hAnsi="Arial" w:cs="Arial"/>
          <w:sz w:val="22"/>
          <w:szCs w:val="22"/>
        </w:rPr>
        <w:t xml:space="preserve"> that took place in an acute inpatient setting</w:t>
      </w:r>
      <w:r w:rsidRPr="00614BF0">
        <w:rPr>
          <w:rFonts w:ascii="Arial" w:eastAsia="Arial" w:hAnsi="Arial" w:cs="Arial"/>
          <w:sz w:val="22"/>
          <w:szCs w:val="22"/>
        </w:rPr>
        <w:t xml:space="preserve">. </w:t>
      </w:r>
      <w:r w:rsidR="00556E9A" w:rsidRPr="00614BF0">
        <w:rPr>
          <w:rFonts w:ascii="Arial" w:eastAsia="Arial" w:hAnsi="Arial" w:cs="Arial"/>
          <w:sz w:val="22"/>
          <w:szCs w:val="22"/>
        </w:rPr>
        <w:t xml:space="preserve">Acute inpatient settings include inpatient hospitals, birthing centers, inpatient psychiatric facilities, and residential substance abuse treatment facilities. </w:t>
      </w:r>
      <w:r w:rsidRPr="00614BF0">
        <w:rPr>
          <w:rFonts w:ascii="Arial" w:eastAsia="Arial" w:hAnsi="Arial" w:cs="Arial"/>
          <w:sz w:val="22"/>
          <w:szCs w:val="22"/>
        </w:rPr>
        <w:t xml:space="preserve">The number of days is based on the days that were reported on facility claims containing room and board services that are included in the admission. </w:t>
      </w:r>
    </w:p>
    <w:p w14:paraId="6F1F0B37" w14:textId="77777777" w:rsidR="00686A26" w:rsidRPr="00614BF0" w:rsidRDefault="00686A26" w:rsidP="00614BF0">
      <w:pPr>
        <w:spacing w:before="0" w:after="0" w:line="240" w:lineRule="auto"/>
        <w:rPr>
          <w:rFonts w:ascii="Arial" w:eastAsia="Arial" w:hAnsi="Arial" w:cs="Arial"/>
          <w:sz w:val="22"/>
          <w:szCs w:val="22"/>
        </w:rPr>
      </w:pPr>
    </w:p>
    <w:p w14:paraId="45148458" w14:textId="593C7BCA" w:rsidR="007B0082" w:rsidRPr="00614BF0" w:rsidRDefault="007B0082" w:rsidP="00614BF0">
      <w:pPr>
        <w:spacing w:before="0" w:after="0" w:line="240" w:lineRule="auto"/>
        <w:rPr>
          <w:rFonts w:ascii="Arial" w:eastAsia="Arial" w:hAnsi="Arial" w:cs="Arial"/>
          <w:sz w:val="22"/>
          <w:szCs w:val="22"/>
        </w:rPr>
      </w:pPr>
      <w:r w:rsidRPr="00614BF0">
        <w:rPr>
          <w:rFonts w:ascii="Arial" w:eastAsia="Arial" w:hAnsi="Arial" w:cs="Arial"/>
          <w:b/>
          <w:bCs/>
          <w:sz w:val="22"/>
          <w:szCs w:val="22"/>
        </w:rPr>
        <w:t>Scripts Rx</w:t>
      </w:r>
      <w:r w:rsidR="00403D30" w:rsidRPr="00614BF0">
        <w:rPr>
          <w:rFonts w:ascii="Arial" w:eastAsia="Arial" w:hAnsi="Arial" w:cs="Arial"/>
          <w:sz w:val="22"/>
          <w:szCs w:val="22"/>
        </w:rPr>
        <w:t xml:space="preserve">: </w:t>
      </w:r>
      <w:r w:rsidRPr="00614BF0">
        <w:rPr>
          <w:rFonts w:ascii="Arial" w:eastAsia="Arial" w:hAnsi="Arial" w:cs="Arial"/>
          <w:sz w:val="22"/>
          <w:szCs w:val="22"/>
        </w:rPr>
        <w:t>the number of prescriptions filled. The number of prescriptions filled is generally equal to the number of original or replacement pharmacy claims minus the number of voided pharmacy claims.</w:t>
      </w:r>
    </w:p>
    <w:p w14:paraId="78756622" w14:textId="77777777" w:rsidR="00686A26" w:rsidRPr="00860003" w:rsidRDefault="00686A26" w:rsidP="00EC368E">
      <w:pPr>
        <w:spacing w:before="0" w:after="0" w:line="240" w:lineRule="auto"/>
        <w:rPr>
          <w:rFonts w:ascii="Arial" w:eastAsia="Arial" w:hAnsi="Arial" w:cs="Arial"/>
        </w:rPr>
      </w:pPr>
    </w:p>
    <w:p w14:paraId="731526F2" w14:textId="1E648FEA" w:rsidR="008F5A8B" w:rsidRPr="00614BF0" w:rsidRDefault="00562983" w:rsidP="00EC368E">
      <w:pPr>
        <w:spacing w:before="0" w:after="0" w:line="240" w:lineRule="auto"/>
        <w:rPr>
          <w:rFonts w:ascii="Arial" w:eastAsia="Arial" w:hAnsi="Arial" w:cs="Arial"/>
          <w:sz w:val="22"/>
          <w:szCs w:val="22"/>
        </w:rPr>
      </w:pPr>
      <w:r w:rsidRPr="00614BF0">
        <w:rPr>
          <w:rFonts w:ascii="Arial" w:eastAsia="Arial" w:hAnsi="Arial" w:cs="Arial"/>
          <w:b/>
          <w:bCs/>
          <w:sz w:val="22"/>
          <w:szCs w:val="22"/>
        </w:rPr>
        <w:lastRenderedPageBreak/>
        <w:t>Rx Days</w:t>
      </w:r>
      <w:r w:rsidR="00060C25" w:rsidRPr="00614BF0">
        <w:rPr>
          <w:rFonts w:ascii="Arial" w:eastAsia="Arial" w:hAnsi="Arial" w:cs="Arial"/>
          <w:b/>
          <w:bCs/>
          <w:sz w:val="22"/>
          <w:szCs w:val="22"/>
        </w:rPr>
        <w:t>-</w:t>
      </w:r>
      <w:r w:rsidRPr="00614BF0">
        <w:rPr>
          <w:rFonts w:ascii="Arial" w:eastAsia="Arial" w:hAnsi="Arial" w:cs="Arial"/>
          <w:b/>
          <w:bCs/>
          <w:sz w:val="22"/>
          <w:szCs w:val="22"/>
        </w:rPr>
        <w:t>Supply</w:t>
      </w:r>
      <w:r w:rsidR="00403D30" w:rsidRPr="00614BF0">
        <w:rPr>
          <w:rFonts w:ascii="Arial" w:eastAsia="Arial" w:hAnsi="Arial" w:cs="Arial"/>
          <w:sz w:val="22"/>
          <w:szCs w:val="22"/>
        </w:rPr>
        <w:t xml:space="preserve">: </w:t>
      </w:r>
      <w:r w:rsidRPr="00614BF0">
        <w:rPr>
          <w:rFonts w:ascii="Arial" w:eastAsia="Arial" w:hAnsi="Arial" w:cs="Arial"/>
          <w:sz w:val="22"/>
          <w:szCs w:val="22"/>
        </w:rPr>
        <w:t xml:space="preserve">the number of days for which drugs were supplied for prescriptions filled. </w:t>
      </w:r>
      <w:r w:rsidR="00014CC1" w:rsidRPr="00614BF0">
        <w:rPr>
          <w:rFonts w:ascii="Arial" w:eastAsia="Arial" w:hAnsi="Arial" w:cs="Arial"/>
          <w:sz w:val="22"/>
          <w:szCs w:val="22"/>
        </w:rPr>
        <w:t>It</w:t>
      </w:r>
      <w:r w:rsidRPr="00614BF0">
        <w:rPr>
          <w:rFonts w:ascii="Arial" w:eastAsia="Arial" w:hAnsi="Arial" w:cs="Arial"/>
          <w:sz w:val="22"/>
          <w:szCs w:val="22"/>
        </w:rPr>
        <w:t xml:space="preserve"> represents the number of days of drug therapy covered by a prescription. </w:t>
      </w:r>
    </w:p>
    <w:p w14:paraId="76C9350F" w14:textId="77777777" w:rsidR="00686A26" w:rsidRPr="00614BF0" w:rsidRDefault="00686A26" w:rsidP="00EC368E">
      <w:pPr>
        <w:pStyle w:val="NoSpacing"/>
        <w:spacing w:before="0"/>
        <w:rPr>
          <w:sz w:val="22"/>
          <w:szCs w:val="22"/>
        </w:rPr>
      </w:pPr>
    </w:p>
    <w:p w14:paraId="3A7F960C" w14:textId="56F7A493" w:rsidR="00784312" w:rsidRPr="00614BF0" w:rsidRDefault="2A375190" w:rsidP="00EC368E">
      <w:pPr>
        <w:spacing w:before="0" w:after="0" w:line="240" w:lineRule="auto"/>
        <w:rPr>
          <w:rFonts w:ascii="Arial" w:eastAsia="Arial" w:hAnsi="Arial" w:cs="Arial"/>
          <w:sz w:val="22"/>
          <w:szCs w:val="22"/>
        </w:rPr>
      </w:pPr>
      <w:r w:rsidRPr="00614BF0">
        <w:rPr>
          <w:rFonts w:ascii="Arial" w:eastAsia="Arial" w:hAnsi="Arial" w:cs="Arial"/>
          <w:b/>
          <w:bCs/>
          <w:sz w:val="22"/>
          <w:szCs w:val="22"/>
        </w:rPr>
        <w:t>Vaccinations/Immunizations</w:t>
      </w:r>
      <w:r w:rsidR="00AB5345" w:rsidRPr="00614BF0">
        <w:rPr>
          <w:rFonts w:ascii="Arial" w:eastAsia="Arial" w:hAnsi="Arial" w:cs="Arial"/>
          <w:b/>
          <w:bCs/>
          <w:sz w:val="22"/>
          <w:szCs w:val="22"/>
        </w:rPr>
        <w:t xml:space="preserve">: </w:t>
      </w:r>
      <w:r w:rsidRPr="00614BF0">
        <w:rPr>
          <w:rFonts w:ascii="Arial" w:eastAsia="Arial" w:hAnsi="Arial" w:cs="Arial"/>
          <w:sz w:val="22"/>
          <w:szCs w:val="22"/>
        </w:rPr>
        <w:t>the count of vaccination or immunization services</w:t>
      </w:r>
      <w:r w:rsidR="432B01D7" w:rsidRPr="00614BF0">
        <w:rPr>
          <w:rFonts w:ascii="Arial" w:eastAsia="Arial" w:hAnsi="Arial" w:cs="Arial"/>
          <w:sz w:val="22"/>
          <w:szCs w:val="22"/>
        </w:rPr>
        <w:t>,</w:t>
      </w:r>
      <w:r w:rsidR="04F04D9D" w:rsidRPr="00614BF0">
        <w:rPr>
          <w:rFonts w:ascii="Arial" w:eastAsia="Arial" w:hAnsi="Arial" w:cs="Arial"/>
          <w:sz w:val="22"/>
          <w:szCs w:val="22"/>
        </w:rPr>
        <w:t xml:space="preserve"> based on the count of unique claim</w:t>
      </w:r>
      <w:r w:rsidR="6645D85C" w:rsidRPr="00614BF0">
        <w:rPr>
          <w:rFonts w:ascii="Arial" w:eastAsia="Arial" w:hAnsi="Arial" w:cs="Arial"/>
          <w:sz w:val="22"/>
          <w:szCs w:val="22"/>
        </w:rPr>
        <w:t>s for either pharmacy</w:t>
      </w:r>
      <w:r w:rsidR="62019FE9" w:rsidRPr="00614BF0">
        <w:rPr>
          <w:rFonts w:ascii="Arial" w:eastAsia="Arial" w:hAnsi="Arial" w:cs="Arial"/>
          <w:sz w:val="22"/>
          <w:szCs w:val="22"/>
        </w:rPr>
        <w:t>-</w:t>
      </w:r>
      <w:r w:rsidR="6645D85C" w:rsidRPr="00614BF0">
        <w:rPr>
          <w:rFonts w:ascii="Arial" w:eastAsia="Arial" w:hAnsi="Arial" w:cs="Arial"/>
          <w:sz w:val="22"/>
          <w:szCs w:val="22"/>
        </w:rPr>
        <w:t>based claim</w:t>
      </w:r>
      <w:r w:rsidR="3D18B96A" w:rsidRPr="00614BF0">
        <w:rPr>
          <w:rFonts w:ascii="Arial" w:eastAsia="Arial" w:hAnsi="Arial" w:cs="Arial"/>
          <w:sz w:val="22"/>
          <w:szCs w:val="22"/>
        </w:rPr>
        <w:t>s</w:t>
      </w:r>
      <w:r w:rsidR="6645D85C" w:rsidRPr="00614BF0">
        <w:rPr>
          <w:rFonts w:ascii="Arial" w:eastAsia="Arial" w:hAnsi="Arial" w:cs="Arial"/>
          <w:sz w:val="22"/>
          <w:szCs w:val="22"/>
        </w:rPr>
        <w:t xml:space="preserve"> (Rx script) or</w:t>
      </w:r>
      <w:r w:rsidR="350B6B3A" w:rsidRPr="00614BF0">
        <w:rPr>
          <w:rFonts w:ascii="Arial" w:eastAsia="Arial" w:hAnsi="Arial" w:cs="Arial"/>
          <w:sz w:val="22"/>
          <w:szCs w:val="22"/>
        </w:rPr>
        <w:t xml:space="preserve"> office visit</w:t>
      </w:r>
      <w:r w:rsidR="4C12F008" w:rsidRPr="00614BF0">
        <w:rPr>
          <w:rFonts w:ascii="Arial" w:eastAsia="Arial" w:hAnsi="Arial" w:cs="Arial"/>
          <w:sz w:val="22"/>
          <w:szCs w:val="22"/>
        </w:rPr>
        <w:t>s</w:t>
      </w:r>
      <w:r w:rsidR="350B6B3A" w:rsidRPr="00614BF0">
        <w:rPr>
          <w:rFonts w:ascii="Arial" w:eastAsia="Arial" w:hAnsi="Arial" w:cs="Arial"/>
          <w:sz w:val="22"/>
          <w:szCs w:val="22"/>
        </w:rPr>
        <w:t>.</w:t>
      </w:r>
      <w:r w:rsidR="4BF09CC9" w:rsidRPr="00614BF0">
        <w:rPr>
          <w:rFonts w:ascii="Arial" w:eastAsia="Arial" w:hAnsi="Arial" w:cs="Arial"/>
          <w:sz w:val="22"/>
          <w:szCs w:val="22"/>
        </w:rPr>
        <w:t xml:space="preserve"> Vaccination</w:t>
      </w:r>
      <w:r w:rsidR="00AB5345" w:rsidRPr="00614BF0">
        <w:rPr>
          <w:rFonts w:ascii="Arial" w:eastAsia="Arial" w:hAnsi="Arial" w:cs="Arial"/>
          <w:sz w:val="22"/>
          <w:szCs w:val="22"/>
        </w:rPr>
        <w:t xml:space="preserve"> and i</w:t>
      </w:r>
      <w:r w:rsidR="4BF09CC9" w:rsidRPr="00614BF0">
        <w:rPr>
          <w:rFonts w:ascii="Arial" w:eastAsia="Arial" w:hAnsi="Arial" w:cs="Arial"/>
          <w:sz w:val="22"/>
          <w:szCs w:val="22"/>
        </w:rPr>
        <w:t xml:space="preserve">mmunization </w:t>
      </w:r>
      <w:r w:rsidR="00AB5345" w:rsidRPr="00614BF0">
        <w:rPr>
          <w:rFonts w:ascii="Arial" w:eastAsia="Arial" w:hAnsi="Arial" w:cs="Arial"/>
          <w:sz w:val="22"/>
          <w:szCs w:val="22"/>
        </w:rPr>
        <w:t>c</w:t>
      </w:r>
      <w:r w:rsidR="4BF09CC9" w:rsidRPr="00614BF0">
        <w:rPr>
          <w:rFonts w:ascii="Arial" w:eastAsia="Arial" w:hAnsi="Arial" w:cs="Arial"/>
          <w:sz w:val="22"/>
          <w:szCs w:val="22"/>
        </w:rPr>
        <w:t xml:space="preserve">laims </w:t>
      </w:r>
      <w:r w:rsidR="0724B5BD" w:rsidRPr="00614BF0">
        <w:rPr>
          <w:rFonts w:ascii="Arial" w:eastAsia="Arial" w:hAnsi="Arial" w:cs="Arial"/>
          <w:sz w:val="22"/>
          <w:szCs w:val="22"/>
        </w:rPr>
        <w:t xml:space="preserve">are determined </w:t>
      </w:r>
      <w:r w:rsidR="4BF09CC9" w:rsidRPr="00614BF0">
        <w:rPr>
          <w:rFonts w:ascii="Arial" w:eastAsia="Arial" w:hAnsi="Arial" w:cs="Arial"/>
          <w:sz w:val="22"/>
          <w:szCs w:val="22"/>
        </w:rPr>
        <w:t>based on procedure codes</w:t>
      </w:r>
      <w:r w:rsidR="20E9401D" w:rsidRPr="00614BF0">
        <w:rPr>
          <w:rFonts w:ascii="Arial" w:eastAsia="Arial" w:hAnsi="Arial" w:cs="Arial"/>
          <w:sz w:val="22"/>
          <w:szCs w:val="22"/>
        </w:rPr>
        <w:t xml:space="preserve"> for office visits </w:t>
      </w:r>
      <w:r w:rsidR="4BF09CC9" w:rsidRPr="00614BF0">
        <w:rPr>
          <w:rFonts w:ascii="Arial" w:eastAsia="Arial" w:hAnsi="Arial" w:cs="Arial"/>
          <w:sz w:val="22"/>
          <w:szCs w:val="22"/>
        </w:rPr>
        <w:t>or therapeutic class</w:t>
      </w:r>
      <w:r w:rsidR="3120262A" w:rsidRPr="00614BF0">
        <w:rPr>
          <w:rFonts w:ascii="Arial" w:eastAsia="Arial" w:hAnsi="Arial" w:cs="Arial"/>
          <w:sz w:val="22"/>
          <w:szCs w:val="22"/>
        </w:rPr>
        <w:t xml:space="preserve"> for pharmacy claims.</w:t>
      </w:r>
    </w:p>
    <w:p w14:paraId="20FE157B" w14:textId="7BA108D8" w:rsidR="00784312" w:rsidRPr="00614BF0" w:rsidRDefault="350B6B3A" w:rsidP="00EC368E">
      <w:pPr>
        <w:spacing w:before="0" w:after="0" w:line="240" w:lineRule="auto"/>
        <w:rPr>
          <w:rFonts w:ascii="Arial" w:eastAsia="Arial" w:hAnsi="Arial" w:cs="Arial"/>
          <w:sz w:val="22"/>
          <w:szCs w:val="22"/>
        </w:rPr>
      </w:pPr>
      <w:r w:rsidRPr="00614BF0">
        <w:rPr>
          <w:rFonts w:ascii="Arial" w:eastAsia="Arial" w:hAnsi="Arial" w:cs="Arial"/>
          <w:sz w:val="22"/>
          <w:szCs w:val="22"/>
        </w:rPr>
        <w:t xml:space="preserve"> </w:t>
      </w:r>
      <w:r w:rsidR="488CA94D" w:rsidRPr="00614BF0">
        <w:rPr>
          <w:sz w:val="22"/>
          <w:szCs w:val="22"/>
        </w:rPr>
        <w:br w:type="page"/>
      </w:r>
    </w:p>
    <w:p w14:paraId="4FC82916" w14:textId="77777777" w:rsidR="003D1655" w:rsidRPr="00860003" w:rsidRDefault="003D1655" w:rsidP="002C549E">
      <w:pPr>
        <w:spacing w:after="120" w:line="240" w:lineRule="auto"/>
        <w:rPr>
          <w:rFonts w:ascii="Arial" w:eastAsia="Arial" w:hAnsi="Arial" w:cs="Arial"/>
        </w:rPr>
      </w:pPr>
    </w:p>
    <w:p w14:paraId="66F865F0" w14:textId="7EEBED54" w:rsidR="00EC1976" w:rsidRPr="00860003" w:rsidRDefault="00247AB2" w:rsidP="381FBA0D">
      <w:pPr>
        <w:pStyle w:val="Heading2"/>
        <w:rPr>
          <w:rFonts w:ascii="Arial" w:hAnsi="Arial" w:cs="Arial"/>
          <w:sz w:val="24"/>
          <w:szCs w:val="24"/>
        </w:rPr>
      </w:pPr>
      <w:r w:rsidRPr="381FBA0D">
        <w:rPr>
          <w:rFonts w:ascii="Arial" w:hAnsi="Arial" w:cs="Arial"/>
          <w:sz w:val="24"/>
          <w:szCs w:val="24"/>
        </w:rPr>
        <w:t>Metric Definitions</w:t>
      </w:r>
    </w:p>
    <w:p w14:paraId="6DF9EFE3" w14:textId="61E6BE3C" w:rsidR="4FDD740C" w:rsidRDefault="4FDD740C" w:rsidP="4FDD740C">
      <w:pPr>
        <w:pStyle w:val="NoSpacing"/>
      </w:pPr>
    </w:p>
    <w:p w14:paraId="23C9A516" w14:textId="020F3823" w:rsidR="00EE5413" w:rsidRDefault="00EE5413" w:rsidP="00614BF0">
      <w:pPr>
        <w:spacing w:before="0" w:after="0" w:line="240" w:lineRule="auto"/>
        <w:rPr>
          <w:rFonts w:ascii="Arial" w:eastAsia="Arial" w:hAnsi="Arial" w:cs="Arial"/>
          <w:sz w:val="22"/>
          <w:szCs w:val="22"/>
        </w:rPr>
      </w:pPr>
      <w:r w:rsidRPr="00614BF0">
        <w:rPr>
          <w:rFonts w:ascii="Arial" w:eastAsia="Arial" w:hAnsi="Arial" w:cs="Arial"/>
          <w:sz w:val="22"/>
          <w:szCs w:val="22"/>
        </w:rPr>
        <w:t>The following is a complete list of metrics found in the report</w:t>
      </w:r>
      <w:r w:rsidR="003152AA" w:rsidRPr="00614BF0">
        <w:rPr>
          <w:rFonts w:ascii="Arial" w:eastAsia="Arial" w:hAnsi="Arial" w:cs="Arial"/>
          <w:sz w:val="22"/>
          <w:szCs w:val="22"/>
        </w:rPr>
        <w:t>,</w:t>
      </w:r>
      <w:r w:rsidRPr="00614BF0">
        <w:rPr>
          <w:rFonts w:ascii="Arial" w:eastAsia="Arial" w:hAnsi="Arial" w:cs="Arial"/>
          <w:sz w:val="22"/>
          <w:szCs w:val="22"/>
        </w:rPr>
        <w:t xml:space="preserve"> with </w:t>
      </w:r>
      <w:r w:rsidR="0021265C" w:rsidRPr="00614BF0">
        <w:rPr>
          <w:rFonts w:ascii="Arial" w:eastAsia="Arial" w:hAnsi="Arial" w:cs="Arial"/>
          <w:sz w:val="22"/>
          <w:szCs w:val="22"/>
        </w:rPr>
        <w:t>codes that aid in the description of calculations.</w:t>
      </w:r>
    </w:p>
    <w:p w14:paraId="2AE36F93" w14:textId="77777777" w:rsidR="00614BF0" w:rsidRPr="00614BF0" w:rsidRDefault="00614BF0" w:rsidP="00614BF0">
      <w:pPr>
        <w:spacing w:before="0" w:after="0" w:line="240" w:lineRule="auto"/>
        <w:rPr>
          <w:rFonts w:ascii="Arial" w:eastAsia="Arial" w:hAnsi="Arial" w:cs="Arial"/>
          <w:sz w:val="22"/>
          <w:szCs w:val="22"/>
        </w:rPr>
      </w:pPr>
    </w:p>
    <w:tbl>
      <w:tblPr>
        <w:tblW w:w="0" w:type="auto"/>
        <w:tblLayout w:type="fixed"/>
        <w:tblLook w:val="06A0" w:firstRow="1" w:lastRow="0" w:firstColumn="1" w:lastColumn="0" w:noHBand="1" w:noVBand="1"/>
      </w:tblPr>
      <w:tblGrid>
        <w:gridCol w:w="1215"/>
        <w:gridCol w:w="900"/>
        <w:gridCol w:w="645"/>
        <w:gridCol w:w="6600"/>
      </w:tblGrid>
      <w:tr w:rsidR="27DAC191" w14:paraId="423261B3" w14:textId="77777777" w:rsidTr="27DAC191">
        <w:trPr>
          <w:trHeight w:val="510"/>
        </w:trPr>
        <w:tc>
          <w:tcPr>
            <w:tcW w:w="1215" w:type="dxa"/>
            <w:tcBorders>
              <w:top w:val="nil"/>
              <w:left w:val="nil"/>
              <w:bottom w:val="nil"/>
              <w:right w:val="nil"/>
            </w:tcBorders>
            <w:tcMar>
              <w:top w:w="15" w:type="dxa"/>
              <w:left w:w="15" w:type="dxa"/>
              <w:right w:w="15" w:type="dxa"/>
            </w:tcMar>
            <w:vAlign w:val="bottom"/>
          </w:tcPr>
          <w:p w14:paraId="5124689C" w14:textId="57C6F94B" w:rsidR="27DAC191" w:rsidRDefault="27DAC191" w:rsidP="27DAC191">
            <w:pPr>
              <w:spacing w:before="0" w:after="0"/>
            </w:pPr>
            <w:r w:rsidRPr="27DAC191">
              <w:rPr>
                <w:rFonts w:ascii="Arial" w:eastAsia="Arial" w:hAnsi="Arial" w:cs="Arial"/>
                <w:b/>
                <w:bCs/>
                <w:color w:val="544D55"/>
              </w:rPr>
              <w:t>Category</w:t>
            </w:r>
          </w:p>
        </w:tc>
        <w:tc>
          <w:tcPr>
            <w:tcW w:w="900" w:type="dxa"/>
            <w:tcBorders>
              <w:top w:val="nil"/>
              <w:left w:val="nil"/>
              <w:bottom w:val="nil"/>
              <w:right w:val="nil"/>
            </w:tcBorders>
            <w:tcMar>
              <w:top w:w="15" w:type="dxa"/>
              <w:left w:w="15" w:type="dxa"/>
              <w:right w:w="15" w:type="dxa"/>
            </w:tcMar>
            <w:vAlign w:val="bottom"/>
          </w:tcPr>
          <w:p w14:paraId="39767198" w14:textId="3264F9C8" w:rsidR="27DAC191" w:rsidRDefault="27DAC191" w:rsidP="27DAC191">
            <w:pPr>
              <w:spacing w:before="0" w:after="0"/>
            </w:pPr>
            <w:r w:rsidRPr="27DAC191">
              <w:rPr>
                <w:rFonts w:ascii="Arial" w:eastAsia="Arial" w:hAnsi="Arial" w:cs="Arial"/>
                <w:b/>
                <w:bCs/>
                <w:color w:val="544D55"/>
              </w:rPr>
              <w:t>Metric Name</w:t>
            </w:r>
          </w:p>
        </w:tc>
        <w:tc>
          <w:tcPr>
            <w:tcW w:w="645" w:type="dxa"/>
            <w:tcBorders>
              <w:top w:val="nil"/>
              <w:left w:val="nil"/>
              <w:bottom w:val="nil"/>
              <w:right w:val="nil"/>
            </w:tcBorders>
            <w:tcMar>
              <w:top w:w="15" w:type="dxa"/>
              <w:left w:w="15" w:type="dxa"/>
              <w:right w:w="15" w:type="dxa"/>
            </w:tcMar>
            <w:vAlign w:val="bottom"/>
          </w:tcPr>
          <w:p w14:paraId="4E650CFD" w14:textId="61E08360" w:rsidR="27DAC191" w:rsidRDefault="27DAC191" w:rsidP="27DAC191">
            <w:pPr>
              <w:spacing w:before="0" w:after="0"/>
              <w:jc w:val="center"/>
            </w:pPr>
            <w:r w:rsidRPr="27DAC191">
              <w:rPr>
                <w:rFonts w:ascii="Arial" w:eastAsia="Arial" w:hAnsi="Arial" w:cs="Arial"/>
                <w:b/>
                <w:bCs/>
                <w:color w:val="544D55"/>
              </w:rPr>
              <w:t>Metric Code</w:t>
            </w:r>
          </w:p>
        </w:tc>
        <w:tc>
          <w:tcPr>
            <w:tcW w:w="6600" w:type="dxa"/>
            <w:tcBorders>
              <w:top w:val="nil"/>
              <w:left w:val="nil"/>
              <w:bottom w:val="nil"/>
              <w:right w:val="nil"/>
            </w:tcBorders>
            <w:tcMar>
              <w:top w:w="15" w:type="dxa"/>
              <w:left w:w="15" w:type="dxa"/>
              <w:right w:w="15" w:type="dxa"/>
            </w:tcMar>
            <w:vAlign w:val="bottom"/>
          </w:tcPr>
          <w:p w14:paraId="11279A68" w14:textId="025CE77D" w:rsidR="27DAC191" w:rsidRDefault="27DAC191" w:rsidP="27DAC191">
            <w:pPr>
              <w:spacing w:before="0" w:after="0"/>
            </w:pPr>
            <w:r w:rsidRPr="27DAC191">
              <w:rPr>
                <w:rFonts w:ascii="Arial" w:eastAsia="Arial" w:hAnsi="Arial" w:cs="Arial"/>
                <w:b/>
                <w:bCs/>
                <w:color w:val="544D55"/>
              </w:rPr>
              <w:t>Metric Definition (Calculation)</w:t>
            </w:r>
          </w:p>
        </w:tc>
      </w:tr>
      <w:tr w:rsidR="27DAC191" w14:paraId="371BB798" w14:textId="77777777" w:rsidTr="003E1A77">
        <w:trPr>
          <w:cantSplit/>
          <w:trHeight w:val="720"/>
        </w:trPr>
        <w:tc>
          <w:tcPr>
            <w:tcW w:w="121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1AABB1A4" w14:textId="530A0261" w:rsidR="27DAC191" w:rsidRDefault="27DAC191" w:rsidP="27DAC191">
            <w:pPr>
              <w:spacing w:before="0" w:after="0"/>
              <w:jc w:val="center"/>
            </w:pPr>
            <w:r w:rsidRPr="27DAC191">
              <w:rPr>
                <w:rFonts w:ascii="Arial" w:eastAsia="Arial" w:hAnsi="Arial" w:cs="Arial"/>
                <w:b/>
                <w:bCs/>
                <w:color w:val="544D55"/>
                <w:sz w:val="16"/>
                <w:szCs w:val="16"/>
              </w:rPr>
              <w:t>Members</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005CE348" w14:textId="14209085" w:rsidR="27DAC191" w:rsidRDefault="27DAC191" w:rsidP="27DAC191">
            <w:pPr>
              <w:spacing w:before="0" w:after="0"/>
            </w:pPr>
            <w:r w:rsidRPr="27DAC191">
              <w:rPr>
                <w:rFonts w:ascii="Arial" w:eastAsia="Arial" w:hAnsi="Arial" w:cs="Arial"/>
                <w:color w:val="544D55"/>
                <w:sz w:val="16"/>
                <w:szCs w:val="16"/>
              </w:rPr>
              <w:t>Unique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C7D5710" w14:textId="5C8094CE" w:rsidR="27DAC191" w:rsidRDefault="27DAC191" w:rsidP="27DAC191">
            <w:pPr>
              <w:spacing w:before="0" w:after="0"/>
              <w:jc w:val="center"/>
            </w:pPr>
            <w:r w:rsidRPr="27DAC191">
              <w:rPr>
                <w:rFonts w:ascii="Arial" w:eastAsia="Arial" w:hAnsi="Arial" w:cs="Arial"/>
                <w:color w:val="544D55"/>
                <w:sz w:val="16"/>
                <w:szCs w:val="16"/>
              </w:rPr>
              <w:t>UMC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97CFB3B" w14:textId="51A60115" w:rsidR="27DAC191" w:rsidRDefault="27DAC191" w:rsidP="27DAC191">
            <w:pPr>
              <w:spacing w:before="0" w:after="0"/>
            </w:pPr>
            <w:r w:rsidRPr="27DAC191">
              <w:rPr>
                <w:rFonts w:ascii="Arial" w:eastAsia="Arial" w:hAnsi="Arial" w:cs="Arial"/>
                <w:color w:val="544D55"/>
                <w:sz w:val="16"/>
                <w:szCs w:val="16"/>
              </w:rPr>
              <w:t>Unique Member Count is a unique count of members with medical coverage. Each member is counted once per year, regardless of how many months they were in the program. This field is rounded to the nearest 10, and all metrics calculated using this field are based on the rounded value.</w:t>
            </w:r>
          </w:p>
        </w:tc>
      </w:tr>
      <w:tr w:rsidR="27DAC191" w14:paraId="4BE8287D"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3439DA64"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0DDF4825" w14:textId="1F4C1FE5" w:rsidR="27DAC191" w:rsidRDefault="27DAC191" w:rsidP="27DAC191">
            <w:pPr>
              <w:spacing w:before="0" w:after="0"/>
            </w:pPr>
            <w:r w:rsidRPr="27DAC191">
              <w:rPr>
                <w:rFonts w:ascii="Arial" w:eastAsia="Arial" w:hAnsi="Arial" w:cs="Arial"/>
                <w:color w:val="544D55"/>
                <w:sz w:val="16"/>
                <w:szCs w:val="16"/>
              </w:rPr>
              <w:t>Months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0C39E38" w14:textId="4DB46FEE" w:rsidR="27DAC191" w:rsidRDefault="27DAC191" w:rsidP="27DAC191">
            <w:pPr>
              <w:spacing w:before="0" w:after="0"/>
              <w:jc w:val="center"/>
            </w:pPr>
            <w:r w:rsidRPr="27DAC191">
              <w:rPr>
                <w:rFonts w:ascii="Arial" w:eastAsia="Arial" w:hAnsi="Arial" w:cs="Arial"/>
                <w:color w:val="544D55"/>
                <w:sz w:val="16"/>
                <w:szCs w:val="16"/>
              </w:rPr>
              <w:t>MM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A69C8BE" w14:textId="7975D476" w:rsidR="27DAC191" w:rsidRDefault="27DAC191" w:rsidP="27DAC191">
            <w:pPr>
              <w:spacing w:before="0" w:after="0"/>
            </w:pPr>
            <w:r w:rsidRPr="27DAC191">
              <w:rPr>
                <w:rFonts w:ascii="Arial" w:eastAsia="Arial" w:hAnsi="Arial" w:cs="Arial"/>
                <w:color w:val="544D55"/>
                <w:sz w:val="16"/>
                <w:szCs w:val="16"/>
              </w:rPr>
              <w:t xml:space="preserve">Member Months is the count of members for each month of active enrollment. Each member is counted </w:t>
            </w:r>
            <w:proofErr w:type="gramStart"/>
            <w:r w:rsidRPr="27DAC191">
              <w:rPr>
                <w:rFonts w:ascii="Arial" w:eastAsia="Arial" w:hAnsi="Arial" w:cs="Arial"/>
                <w:color w:val="544D55"/>
                <w:sz w:val="16"/>
                <w:szCs w:val="16"/>
              </w:rPr>
              <w:t>once for</w:t>
            </w:r>
            <w:proofErr w:type="gramEnd"/>
            <w:r w:rsidRPr="27DAC191">
              <w:rPr>
                <w:rFonts w:ascii="Arial" w:eastAsia="Arial" w:hAnsi="Arial" w:cs="Arial"/>
                <w:color w:val="544D55"/>
                <w:sz w:val="16"/>
                <w:szCs w:val="16"/>
              </w:rPr>
              <w:t xml:space="preserve"> each month enrolled in the program.</w:t>
            </w:r>
          </w:p>
        </w:tc>
      </w:tr>
      <w:tr w:rsidR="27DAC191" w14:paraId="44541171"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46FFC908"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3BFD04F5" w14:textId="67AD1A09" w:rsidR="27DAC191" w:rsidRDefault="27DAC191" w:rsidP="27DAC191">
            <w:pPr>
              <w:spacing w:before="0" w:after="0"/>
            </w:pPr>
            <w:r w:rsidRPr="27DAC191">
              <w:rPr>
                <w:rFonts w:ascii="Arial" w:eastAsia="Arial" w:hAnsi="Arial" w:cs="Arial"/>
                <w:color w:val="544D55"/>
                <w:sz w:val="16"/>
                <w:szCs w:val="16"/>
              </w:rPr>
              <w:t>Average</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AD29627" w14:textId="37A61A5E" w:rsidR="27DAC191" w:rsidRDefault="27DAC191" w:rsidP="27DAC191">
            <w:pPr>
              <w:spacing w:before="0" w:after="0"/>
              <w:jc w:val="center"/>
            </w:pPr>
            <w:r w:rsidRPr="27DAC191">
              <w:rPr>
                <w:rFonts w:ascii="Arial" w:eastAsia="Arial" w:hAnsi="Arial" w:cs="Arial"/>
                <w:color w:val="544D55"/>
                <w:sz w:val="16"/>
                <w:szCs w:val="16"/>
              </w:rPr>
              <w:t>AM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2590E08" w14:textId="7C502C53" w:rsidR="27DAC191" w:rsidRDefault="27DAC191" w:rsidP="27DAC191">
            <w:pPr>
              <w:spacing w:before="0" w:after="0"/>
            </w:pPr>
            <w:r w:rsidRPr="27DAC191">
              <w:rPr>
                <w:rFonts w:ascii="Arial" w:eastAsia="Arial" w:hAnsi="Arial" w:cs="Arial"/>
                <w:color w:val="544D55"/>
                <w:sz w:val="16"/>
                <w:szCs w:val="16"/>
              </w:rPr>
              <w:t>Members Average is calculated by dividing total Members Months for the calendar year by 12. (MM/12)</w:t>
            </w:r>
          </w:p>
        </w:tc>
      </w:tr>
      <w:tr w:rsidR="27DAC191" w14:paraId="1998F82D"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15B5CE2B"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353FAE0F" w14:textId="20824539" w:rsidR="27DAC191" w:rsidRDefault="27DAC191" w:rsidP="27DAC191">
            <w:pPr>
              <w:spacing w:before="0" w:after="0"/>
            </w:pPr>
            <w:r w:rsidRPr="27DAC191">
              <w:rPr>
                <w:rFonts w:ascii="Arial" w:eastAsia="Arial" w:hAnsi="Arial" w:cs="Arial"/>
                <w:color w:val="544D55"/>
                <w:sz w:val="16"/>
                <w:szCs w:val="16"/>
              </w:rPr>
              <w:t>% of Total Average</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BFEFF36" w14:textId="24AC5D11" w:rsidR="27DAC191" w:rsidRDefault="27DAC191" w:rsidP="27DAC191">
            <w:pPr>
              <w:spacing w:before="0" w:after="0"/>
              <w:jc w:val="center"/>
            </w:pPr>
            <w:r w:rsidRPr="27DAC191">
              <w:rPr>
                <w:rFonts w:ascii="Arial" w:eastAsia="Arial" w:hAnsi="Arial" w:cs="Arial"/>
                <w:color w:val="544D55"/>
                <w:sz w:val="16"/>
                <w:szCs w:val="16"/>
              </w:rPr>
              <w:t>AMP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5782290" w14:textId="23E03D33" w:rsidR="27DAC191" w:rsidRDefault="27DAC191" w:rsidP="27DAC191">
            <w:pPr>
              <w:spacing w:before="0" w:after="0"/>
            </w:pPr>
            <w:r w:rsidRPr="27DAC191">
              <w:rPr>
                <w:rFonts w:ascii="Arial" w:eastAsia="Arial" w:hAnsi="Arial" w:cs="Arial"/>
                <w:color w:val="544D55"/>
                <w:sz w:val="16"/>
                <w:szCs w:val="16"/>
              </w:rPr>
              <w:t xml:space="preserve">Average Member Percent is the percentage of the </w:t>
            </w:r>
            <w:proofErr w:type="gramStart"/>
            <w:r w:rsidRPr="27DAC191">
              <w:rPr>
                <w:rFonts w:ascii="Arial" w:eastAsia="Arial" w:hAnsi="Arial" w:cs="Arial"/>
                <w:color w:val="544D55"/>
                <w:sz w:val="16"/>
                <w:szCs w:val="16"/>
              </w:rPr>
              <w:t>total average</w:t>
            </w:r>
            <w:proofErr w:type="gramEnd"/>
            <w:r w:rsidRPr="27DAC191">
              <w:rPr>
                <w:rFonts w:ascii="Arial" w:eastAsia="Arial" w:hAnsi="Arial" w:cs="Arial"/>
                <w:color w:val="544D55"/>
                <w:sz w:val="16"/>
                <w:szCs w:val="16"/>
              </w:rPr>
              <w:t xml:space="preserve"> members. [AM/AM (Grand Total)]</w:t>
            </w:r>
          </w:p>
        </w:tc>
      </w:tr>
      <w:tr w:rsidR="27DAC191" w14:paraId="2E1D81E8"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166A2303"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2668DEAF" w14:textId="20DC4545"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E2B2B09" w14:textId="6198FAE5" w:rsidR="27DAC191" w:rsidRDefault="27DAC191" w:rsidP="27DAC191">
            <w:pPr>
              <w:spacing w:before="0" w:after="0"/>
              <w:jc w:val="center"/>
            </w:pPr>
            <w:r w:rsidRPr="27DAC191">
              <w:rPr>
                <w:rFonts w:ascii="Arial" w:eastAsia="Arial" w:hAnsi="Arial" w:cs="Arial"/>
                <w:color w:val="544D55"/>
                <w:sz w:val="16"/>
                <w:szCs w:val="16"/>
              </w:rPr>
              <w:t>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18E548F" w14:textId="1F50A39D" w:rsidR="27DAC191" w:rsidRDefault="27DAC191" w:rsidP="27DAC191">
            <w:pPr>
              <w:spacing w:before="0" w:after="0"/>
            </w:pPr>
            <w:r w:rsidRPr="27DAC191">
              <w:rPr>
                <w:rFonts w:ascii="Arial" w:eastAsia="Arial" w:hAnsi="Arial" w:cs="Arial"/>
                <w:color w:val="544D55"/>
                <w:sz w:val="16"/>
                <w:szCs w:val="16"/>
              </w:rPr>
              <w:t>Patient Count is the unique count of members who received facility, professional, or pharmacy services. This field is rounded to the nearest 10, and all metrics calculated using this field are based on the rounded value.</w:t>
            </w:r>
          </w:p>
        </w:tc>
      </w:tr>
      <w:tr w:rsidR="27DAC191" w14:paraId="29AAB23D"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67CE1C4E"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027D5521" w14:textId="2D6ADE43"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770F6CC" w14:textId="2E7A8AAB" w:rsidR="27DAC191" w:rsidRDefault="27DAC191" w:rsidP="27DAC191">
            <w:pPr>
              <w:spacing w:before="0" w:after="0"/>
              <w:jc w:val="center"/>
            </w:pPr>
            <w:r w:rsidRPr="27DAC191">
              <w:rPr>
                <w:rFonts w:ascii="Arial" w:eastAsia="Arial" w:hAnsi="Arial" w:cs="Arial"/>
                <w:color w:val="544D55"/>
                <w:sz w:val="16"/>
                <w:szCs w:val="16"/>
              </w:rPr>
              <w:t>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AC8FD86" w14:textId="43558A63" w:rsidR="27DAC191" w:rsidRDefault="27DAC191" w:rsidP="27DAC191">
            <w:pPr>
              <w:spacing w:before="0" w:after="0"/>
            </w:pPr>
            <w:r w:rsidRPr="27DAC191">
              <w:rPr>
                <w:rFonts w:ascii="Arial" w:eastAsia="Arial" w:hAnsi="Arial" w:cs="Arial"/>
                <w:color w:val="544D55"/>
                <w:sz w:val="16"/>
                <w:szCs w:val="16"/>
              </w:rPr>
              <w:t xml:space="preserve">Patients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Patient Count and Members Unique Count. (PC/UMC*1000)</w:t>
            </w:r>
          </w:p>
        </w:tc>
      </w:tr>
      <w:tr w:rsidR="27DAC191" w14:paraId="529412AA" w14:textId="77777777" w:rsidTr="003E1A77">
        <w:trPr>
          <w:cantSplit/>
          <w:trHeight w:val="720"/>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7D49BE8C"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4E6BE"/>
            <w:tcMar>
              <w:top w:w="15" w:type="dxa"/>
              <w:left w:w="15" w:type="dxa"/>
              <w:right w:w="15" w:type="dxa"/>
            </w:tcMar>
            <w:vAlign w:val="center"/>
          </w:tcPr>
          <w:p w14:paraId="03E7398C" w14:textId="5662921D"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22173F0" w14:textId="1452D12C" w:rsidR="27DAC191" w:rsidRDefault="27DAC191" w:rsidP="27DAC191">
            <w:pPr>
              <w:spacing w:before="0" w:after="0"/>
              <w:jc w:val="center"/>
            </w:pPr>
            <w:r w:rsidRPr="27DAC191">
              <w:rPr>
                <w:rFonts w:ascii="Arial" w:eastAsia="Arial" w:hAnsi="Arial" w:cs="Arial"/>
                <w:color w:val="544D55"/>
                <w:sz w:val="16"/>
                <w:szCs w:val="16"/>
              </w:rPr>
              <w:t>PM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4412C01" w14:textId="3A7CC4DA" w:rsidR="27DAC191" w:rsidRDefault="27DAC191" w:rsidP="27DAC191">
            <w:pPr>
              <w:spacing w:before="0" w:after="0"/>
            </w:pPr>
            <w:r w:rsidRPr="27DAC191">
              <w:rPr>
                <w:rFonts w:ascii="Arial" w:eastAsia="Arial" w:hAnsi="Arial" w:cs="Arial"/>
                <w:color w:val="544D55"/>
                <w:sz w:val="16"/>
                <w:szCs w:val="16"/>
              </w:rPr>
              <w:t>Percent of Patients is the percent of total patient count. [PC/</w:t>
            </w:r>
            <w:proofErr w:type="gramStart"/>
            <w:r w:rsidRPr="27DAC191">
              <w:rPr>
                <w:rFonts w:ascii="Arial" w:eastAsia="Arial" w:hAnsi="Arial" w:cs="Arial"/>
                <w:color w:val="544D55"/>
                <w:sz w:val="16"/>
                <w:szCs w:val="16"/>
              </w:rPr>
              <w:t>PC(</w:t>
            </w:r>
            <w:proofErr w:type="gramEnd"/>
            <w:r w:rsidRPr="27DAC191">
              <w:rPr>
                <w:rFonts w:ascii="Arial" w:eastAsia="Arial" w:hAnsi="Arial" w:cs="Arial"/>
                <w:color w:val="544D55"/>
                <w:sz w:val="16"/>
                <w:szCs w:val="16"/>
              </w:rPr>
              <w:t>Grand Total)]</w:t>
            </w:r>
          </w:p>
        </w:tc>
      </w:tr>
      <w:tr w:rsidR="27DAC191" w14:paraId="2E4BAAAB" w14:textId="77777777" w:rsidTr="003E1A77">
        <w:trPr>
          <w:cantSplit/>
          <w:trHeight w:val="720"/>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right w:w="15" w:type="dxa"/>
            </w:tcMar>
            <w:vAlign w:val="center"/>
          </w:tcPr>
          <w:p w14:paraId="5C933BDD" w14:textId="522B66BE" w:rsidR="27DAC191" w:rsidRDefault="27DAC191" w:rsidP="27DAC191">
            <w:pPr>
              <w:spacing w:before="0" w:after="0"/>
              <w:jc w:val="center"/>
            </w:pPr>
            <w:r w:rsidRPr="27DAC191">
              <w:rPr>
                <w:rFonts w:ascii="Arial" w:eastAsia="Arial" w:hAnsi="Arial" w:cs="Arial"/>
                <w:b/>
                <w:bCs/>
                <w:color w:val="544D55"/>
                <w:sz w:val="16"/>
                <w:szCs w:val="16"/>
              </w:rPr>
              <w:t>Primary Care</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0A264605" w14:textId="71216DF0" w:rsidR="27DAC191" w:rsidRDefault="27DAC191" w:rsidP="27DAC191">
            <w:pPr>
              <w:spacing w:before="0" w:after="0"/>
            </w:pPr>
            <w:r w:rsidRPr="27DAC191">
              <w:rPr>
                <w:rFonts w:ascii="Arial" w:eastAsia="Arial" w:hAnsi="Arial" w:cs="Arial"/>
                <w:color w:val="544D55"/>
                <w:sz w:val="16"/>
                <w:szCs w:val="16"/>
              </w:rPr>
              <w:t>Office Visits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BB1DE4F" w14:textId="60573CF2" w:rsidR="27DAC191" w:rsidRDefault="27DAC191" w:rsidP="27DAC191">
            <w:pPr>
              <w:spacing w:before="0" w:after="0"/>
              <w:jc w:val="center"/>
            </w:pPr>
            <w:r w:rsidRPr="27DAC191">
              <w:rPr>
                <w:rFonts w:ascii="Arial" w:eastAsia="Arial" w:hAnsi="Arial" w:cs="Arial"/>
                <w:color w:val="544D55"/>
                <w:sz w:val="16"/>
                <w:szCs w:val="16"/>
              </w:rPr>
              <w:t>PCV</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6CFA35F" w14:textId="2C84D28B" w:rsidR="27DAC191" w:rsidRDefault="27DAC191" w:rsidP="27DAC191">
            <w:pPr>
              <w:spacing w:before="0" w:after="0"/>
            </w:pPr>
            <w:r w:rsidRPr="27DAC191">
              <w:rPr>
                <w:rFonts w:ascii="Arial" w:eastAsia="Arial" w:hAnsi="Arial" w:cs="Arial"/>
                <w:color w:val="544D55"/>
                <w:sz w:val="16"/>
                <w:szCs w:val="16"/>
              </w:rPr>
              <w:t xml:space="preserve">Primary Care Office Visits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the number of professional visits provided in an office setting under medical coverage constrained by taxonomy code and procedure code to align with the Covered CA standard benefit design definition of primary care. The number of visits is based on the count of unique </w:t>
            </w:r>
            <w:proofErr w:type="gramStart"/>
            <w:r w:rsidRPr="27DAC191">
              <w:rPr>
                <w:rFonts w:ascii="Arial" w:eastAsia="Arial" w:hAnsi="Arial" w:cs="Arial"/>
                <w:color w:val="544D55"/>
                <w:sz w:val="16"/>
                <w:szCs w:val="16"/>
              </w:rPr>
              <w:t>patient</w:t>
            </w:r>
            <w:proofErr w:type="gramEnd"/>
            <w:r w:rsidRPr="27DAC191">
              <w:rPr>
                <w:rFonts w:ascii="Arial" w:eastAsia="Arial" w:hAnsi="Arial" w:cs="Arial"/>
                <w:color w:val="544D55"/>
                <w:sz w:val="16"/>
                <w:szCs w:val="16"/>
              </w:rPr>
              <w:t xml:space="preserve">, service </w:t>
            </w:r>
            <w:proofErr w:type="gramStart"/>
            <w:r w:rsidRPr="27DAC191">
              <w:rPr>
                <w:rFonts w:ascii="Arial" w:eastAsia="Arial" w:hAnsi="Arial" w:cs="Arial"/>
                <w:color w:val="544D55"/>
                <w:sz w:val="16"/>
                <w:szCs w:val="16"/>
              </w:rPr>
              <w:t>date</w:t>
            </w:r>
            <w:proofErr w:type="gramEnd"/>
            <w:r w:rsidRPr="27DAC191">
              <w:rPr>
                <w:rFonts w:ascii="Arial" w:eastAsia="Arial" w:hAnsi="Arial" w:cs="Arial"/>
                <w:color w:val="544D55"/>
                <w:sz w:val="16"/>
                <w:szCs w:val="16"/>
              </w:rPr>
              <w:t>, and provider combinations.</w:t>
            </w:r>
          </w:p>
        </w:tc>
      </w:tr>
      <w:tr w:rsidR="27DAC191" w14:paraId="70197F19"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60521E80"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71130619" w14:textId="15F74CD7" w:rsidR="27DAC191" w:rsidRDefault="27DAC191" w:rsidP="27DAC191">
            <w:pPr>
              <w:spacing w:before="0" w:after="0"/>
            </w:pPr>
            <w:r w:rsidRPr="27DAC191">
              <w:rPr>
                <w:rFonts w:ascii="Arial" w:eastAsia="Arial" w:hAnsi="Arial" w:cs="Arial"/>
                <w:color w:val="544D55"/>
                <w:sz w:val="16"/>
                <w:szCs w:val="16"/>
              </w:rPr>
              <w:t>Visits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BCC2CC2" w14:textId="54664C96" w:rsidR="27DAC191" w:rsidRDefault="27DAC191" w:rsidP="27DAC191">
            <w:pPr>
              <w:spacing w:before="0" w:after="0"/>
              <w:jc w:val="center"/>
            </w:pPr>
            <w:r w:rsidRPr="27DAC191">
              <w:rPr>
                <w:rFonts w:ascii="Arial" w:eastAsia="Arial" w:hAnsi="Arial" w:cs="Arial"/>
                <w:color w:val="544D55"/>
                <w:sz w:val="16"/>
                <w:szCs w:val="16"/>
              </w:rPr>
              <w:t>PCVT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A5CA206" w14:textId="6CA9F1AE" w:rsidR="27DAC191" w:rsidRDefault="27DAC191" w:rsidP="27DAC191">
            <w:pPr>
              <w:spacing w:before="0" w:after="0"/>
            </w:pPr>
            <w:r w:rsidRPr="27DAC191">
              <w:rPr>
                <w:rFonts w:ascii="Arial" w:eastAsia="Arial" w:hAnsi="Arial" w:cs="Arial"/>
                <w:color w:val="544D55"/>
                <w:sz w:val="16"/>
                <w:szCs w:val="16"/>
              </w:rPr>
              <w:t xml:space="preserve">Primary Care Visits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Primary Care Office Visits and Members Average. (PCV/AM*1000)</w:t>
            </w:r>
          </w:p>
        </w:tc>
      </w:tr>
      <w:tr w:rsidR="27DAC191" w14:paraId="4A605A28"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3A218ED3"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4F62B0F8" w14:textId="3041532F" w:rsidR="27DAC191" w:rsidRDefault="27DAC191" w:rsidP="27DAC191">
            <w:pPr>
              <w:spacing w:before="0" w:after="0"/>
            </w:pPr>
            <w:r w:rsidRPr="27DAC191">
              <w:rPr>
                <w:rFonts w:ascii="Arial" w:eastAsia="Arial" w:hAnsi="Arial" w:cs="Arial"/>
                <w:color w:val="544D55"/>
                <w:sz w:val="16"/>
                <w:szCs w:val="16"/>
              </w:rPr>
              <w:t xml:space="preserve"> % </w:t>
            </w:r>
            <w:proofErr w:type="spellStart"/>
            <w:r w:rsidRPr="27DAC191">
              <w:rPr>
                <w:rFonts w:ascii="Arial" w:eastAsia="Arial" w:hAnsi="Arial" w:cs="Arial"/>
                <w:color w:val="544D55"/>
                <w:sz w:val="16"/>
                <w:szCs w:val="16"/>
              </w:rPr>
              <w:t>Telemed</w:t>
            </w:r>
            <w:proofErr w:type="spell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1878B0D" w14:textId="148976BA" w:rsidR="27DAC191" w:rsidRDefault="27DAC191" w:rsidP="27DAC191">
            <w:pPr>
              <w:spacing w:before="0" w:after="0"/>
              <w:jc w:val="center"/>
            </w:pPr>
            <w:r w:rsidRPr="27DAC191">
              <w:rPr>
                <w:rFonts w:ascii="Arial" w:eastAsia="Arial" w:hAnsi="Arial" w:cs="Arial"/>
                <w:color w:val="544D55"/>
                <w:sz w:val="16"/>
                <w:szCs w:val="16"/>
              </w:rPr>
              <w:t>PCTM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886CCF9" w14:textId="48866AC6" w:rsidR="27DAC191" w:rsidRDefault="27DAC191" w:rsidP="27DAC191">
            <w:pPr>
              <w:spacing w:before="0" w:after="0"/>
            </w:pPr>
            <w:r w:rsidRPr="27DAC191">
              <w:rPr>
                <w:rFonts w:ascii="Arial" w:eastAsia="Arial" w:hAnsi="Arial" w:cs="Arial"/>
                <w:color w:val="544D55"/>
                <w:sz w:val="16"/>
                <w:szCs w:val="16"/>
              </w:rPr>
              <w:t xml:space="preserve">Primary Care Office Visits % </w:t>
            </w:r>
            <w:proofErr w:type="spellStart"/>
            <w:r w:rsidRPr="27DAC191">
              <w:rPr>
                <w:rFonts w:ascii="Arial" w:eastAsia="Arial" w:hAnsi="Arial" w:cs="Arial"/>
                <w:color w:val="544D55"/>
                <w:sz w:val="16"/>
                <w:szCs w:val="16"/>
              </w:rPr>
              <w:t>Telemed</w:t>
            </w:r>
            <w:proofErr w:type="spellEnd"/>
            <w:r w:rsidRPr="27DAC191">
              <w:rPr>
                <w:rFonts w:ascii="Arial" w:eastAsia="Arial" w:hAnsi="Arial" w:cs="Arial"/>
                <w:color w:val="544D55"/>
                <w:sz w:val="16"/>
                <w:szCs w:val="16"/>
              </w:rPr>
              <w:t xml:space="preserve"> is the percentage of primary care office visits that were conducted through one of several telemedicine routes (audio only, audio/visual, patient monitoring, email or provider-provider consultation). </w:t>
            </w:r>
          </w:p>
        </w:tc>
      </w:tr>
      <w:tr w:rsidR="27DAC191" w14:paraId="03188D73"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61CF4F17"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0ACB4F0D" w14:textId="5519323B"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0551872" w14:textId="4CACCEFC" w:rsidR="27DAC191" w:rsidRDefault="27DAC191" w:rsidP="27DAC191">
            <w:pPr>
              <w:spacing w:before="0" w:after="0"/>
              <w:jc w:val="center"/>
            </w:pPr>
            <w:r w:rsidRPr="27DAC191">
              <w:rPr>
                <w:rFonts w:ascii="Arial" w:eastAsia="Arial" w:hAnsi="Arial" w:cs="Arial"/>
                <w:color w:val="544D55"/>
                <w:sz w:val="16"/>
                <w:szCs w:val="16"/>
              </w:rPr>
              <w:t>PCPC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68A378D" w14:textId="6CA4B2EE" w:rsidR="27DAC191" w:rsidRDefault="27DAC191" w:rsidP="27DAC191">
            <w:pPr>
              <w:spacing w:before="0" w:after="0"/>
            </w:pPr>
            <w:r w:rsidRPr="27DAC191">
              <w:rPr>
                <w:rFonts w:ascii="Arial" w:eastAsia="Arial" w:hAnsi="Arial" w:cs="Arial"/>
                <w:color w:val="544D55"/>
                <w:sz w:val="16"/>
                <w:szCs w:val="16"/>
              </w:rPr>
              <w:t>Primary Care Patient Count is the unique count of members who received professional services constrained by taxonomy code and procedure code to align with the Covered CA standard benefit design definition of primary care. This field is rounded to the nearest 10, and all metrics calculated using this field are based on the rounded value.</w:t>
            </w:r>
          </w:p>
        </w:tc>
      </w:tr>
      <w:tr w:rsidR="27DAC191" w14:paraId="4FCC4E0D"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3643BD43"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76DC156A" w14:textId="27D45F23"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A4C4F88" w14:textId="2AD81FC3" w:rsidR="27DAC191" w:rsidRDefault="27DAC191" w:rsidP="27DAC191">
            <w:pPr>
              <w:spacing w:before="0" w:after="0"/>
              <w:jc w:val="center"/>
            </w:pPr>
            <w:r w:rsidRPr="27DAC191">
              <w:rPr>
                <w:rFonts w:ascii="Arial" w:eastAsia="Arial" w:hAnsi="Arial" w:cs="Arial"/>
                <w:color w:val="544D55"/>
                <w:sz w:val="16"/>
                <w:szCs w:val="16"/>
              </w:rPr>
              <w:t>PCPT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7F44A3C" w14:textId="72C73A8D" w:rsidR="27DAC191" w:rsidRDefault="27DAC191" w:rsidP="27DAC191">
            <w:pPr>
              <w:spacing w:before="0" w:after="0"/>
            </w:pPr>
            <w:r w:rsidRPr="27DAC191">
              <w:rPr>
                <w:rFonts w:ascii="Arial" w:eastAsia="Arial" w:hAnsi="Arial" w:cs="Arial"/>
                <w:color w:val="544D55"/>
                <w:sz w:val="16"/>
                <w:szCs w:val="16"/>
              </w:rPr>
              <w:t xml:space="preserve">Primary Care Patients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Primary Care Patient Count and Members Unique Count. (PCPC/UMC*1000)</w:t>
            </w:r>
          </w:p>
        </w:tc>
      </w:tr>
      <w:tr w:rsidR="27DAC191" w14:paraId="294825CB" w14:textId="77777777" w:rsidTr="003E1A77">
        <w:trPr>
          <w:cantSplit/>
          <w:trHeight w:val="720"/>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31A86E4B"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7F633714" w14:textId="613E8404"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CDEE8C5" w14:textId="4F239FE1" w:rsidR="27DAC191" w:rsidRDefault="27DAC191" w:rsidP="27DAC191">
            <w:pPr>
              <w:spacing w:before="0" w:after="0"/>
              <w:jc w:val="center"/>
            </w:pPr>
            <w:r w:rsidRPr="27DAC191">
              <w:rPr>
                <w:rFonts w:ascii="Arial" w:eastAsia="Arial" w:hAnsi="Arial" w:cs="Arial"/>
                <w:color w:val="544D55"/>
                <w:sz w:val="16"/>
                <w:szCs w:val="16"/>
              </w:rPr>
              <w:t>PCPP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9FF0220" w14:textId="5E075C2D" w:rsidR="27DAC191" w:rsidRDefault="27DAC191" w:rsidP="27DAC191">
            <w:pPr>
              <w:spacing w:before="0" w:after="0"/>
            </w:pPr>
            <w:r w:rsidRPr="27DAC191">
              <w:rPr>
                <w:rFonts w:ascii="Arial" w:eastAsia="Arial" w:hAnsi="Arial" w:cs="Arial"/>
                <w:color w:val="544D55"/>
                <w:sz w:val="16"/>
                <w:szCs w:val="16"/>
              </w:rPr>
              <w:t>Primary Care Percent of Patients is the percent of total patient count. [PCPC/</w:t>
            </w:r>
            <w:proofErr w:type="gramStart"/>
            <w:r w:rsidRPr="27DAC191">
              <w:rPr>
                <w:rFonts w:ascii="Arial" w:eastAsia="Arial" w:hAnsi="Arial" w:cs="Arial"/>
                <w:color w:val="544D55"/>
                <w:sz w:val="16"/>
                <w:szCs w:val="16"/>
              </w:rPr>
              <w:t>PCPC(</w:t>
            </w:r>
            <w:proofErr w:type="gramEnd"/>
            <w:r w:rsidRPr="27DAC191">
              <w:rPr>
                <w:rFonts w:ascii="Arial" w:eastAsia="Arial" w:hAnsi="Arial" w:cs="Arial"/>
                <w:color w:val="544D55"/>
                <w:sz w:val="16"/>
                <w:szCs w:val="16"/>
              </w:rPr>
              <w:t>Grand Total)]</w:t>
            </w:r>
          </w:p>
        </w:tc>
      </w:tr>
    </w:tbl>
    <w:p w14:paraId="527E0AA8" w14:textId="77777777" w:rsidR="005E5D0D" w:rsidRDefault="005E5D0D">
      <w:r>
        <w:br w:type="page"/>
      </w:r>
    </w:p>
    <w:tbl>
      <w:tblPr>
        <w:tblW w:w="9360" w:type="dxa"/>
        <w:tblInd w:w="-5" w:type="dxa"/>
        <w:tblLayout w:type="fixed"/>
        <w:tblLook w:val="06A0" w:firstRow="1" w:lastRow="0" w:firstColumn="1" w:lastColumn="0" w:noHBand="1" w:noVBand="1"/>
      </w:tblPr>
      <w:tblGrid>
        <w:gridCol w:w="1215"/>
        <w:gridCol w:w="900"/>
        <w:gridCol w:w="645"/>
        <w:gridCol w:w="6600"/>
      </w:tblGrid>
      <w:tr w:rsidR="00F41E30" w14:paraId="2BC7429B" w14:textId="77777777" w:rsidTr="005E5D0D">
        <w:trPr>
          <w:cantSplit/>
          <w:trHeight w:val="576"/>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F8"/>
            <w:tcMar>
              <w:top w:w="15" w:type="dxa"/>
              <w:left w:w="15" w:type="dxa"/>
              <w:right w:w="15" w:type="dxa"/>
            </w:tcMar>
            <w:vAlign w:val="center"/>
          </w:tcPr>
          <w:p w14:paraId="32DF4443" w14:textId="62199D6B" w:rsidR="27DAC191" w:rsidRDefault="27DAC191" w:rsidP="27DAC191">
            <w:pPr>
              <w:spacing w:before="0" w:after="0"/>
              <w:jc w:val="center"/>
            </w:pPr>
            <w:r w:rsidRPr="27DAC191">
              <w:rPr>
                <w:rFonts w:ascii="Arial" w:eastAsia="Arial" w:hAnsi="Arial" w:cs="Arial"/>
                <w:b/>
                <w:bCs/>
                <w:color w:val="544D55"/>
                <w:sz w:val="16"/>
                <w:szCs w:val="16"/>
              </w:rPr>
              <w:lastRenderedPageBreak/>
              <w:t>Behavioral Health</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681ADEA0" w14:textId="799073E2" w:rsidR="27DAC191" w:rsidRDefault="27DAC191" w:rsidP="27DAC191">
            <w:pPr>
              <w:spacing w:before="0" w:after="0"/>
            </w:pPr>
            <w:r w:rsidRPr="27DAC191">
              <w:rPr>
                <w:rFonts w:ascii="Arial" w:eastAsia="Arial" w:hAnsi="Arial" w:cs="Arial"/>
                <w:color w:val="544D55"/>
                <w:sz w:val="16"/>
                <w:szCs w:val="16"/>
              </w:rPr>
              <w:t>Office Visits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96CB0C4" w14:textId="790DAF8B" w:rsidR="27DAC191" w:rsidRDefault="27DAC191" w:rsidP="27DAC191">
            <w:pPr>
              <w:spacing w:before="0" w:after="0"/>
              <w:jc w:val="center"/>
            </w:pPr>
            <w:r w:rsidRPr="27DAC191">
              <w:rPr>
                <w:rFonts w:ascii="Arial" w:eastAsia="Arial" w:hAnsi="Arial" w:cs="Arial"/>
                <w:color w:val="544D55"/>
                <w:sz w:val="16"/>
                <w:szCs w:val="16"/>
              </w:rPr>
              <w:t>BHV</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F6428FB" w14:textId="0C74DDE3" w:rsidR="27DAC191" w:rsidRDefault="27DAC191" w:rsidP="27DAC191">
            <w:pPr>
              <w:spacing w:before="0" w:after="0"/>
            </w:pPr>
            <w:r w:rsidRPr="27DAC191">
              <w:rPr>
                <w:rFonts w:ascii="Arial" w:eastAsia="Arial" w:hAnsi="Arial" w:cs="Arial"/>
                <w:color w:val="544D55"/>
                <w:sz w:val="16"/>
                <w:szCs w:val="16"/>
              </w:rPr>
              <w:t xml:space="preserve">Behavioral Health Office Visits is the number of professional visits provided in an office setting under medical coverage constrained by taxonomy code and procedure code to align with the Covered CA standard benefit design definition of behavioral health. The number of visits is based on the count of unique </w:t>
            </w:r>
            <w:proofErr w:type="gramStart"/>
            <w:r w:rsidRPr="27DAC191">
              <w:rPr>
                <w:rFonts w:ascii="Arial" w:eastAsia="Arial" w:hAnsi="Arial" w:cs="Arial"/>
                <w:color w:val="544D55"/>
                <w:sz w:val="16"/>
                <w:szCs w:val="16"/>
              </w:rPr>
              <w:t>patient</w:t>
            </w:r>
            <w:proofErr w:type="gramEnd"/>
            <w:r w:rsidRPr="27DAC191">
              <w:rPr>
                <w:rFonts w:ascii="Arial" w:eastAsia="Arial" w:hAnsi="Arial" w:cs="Arial"/>
                <w:color w:val="544D55"/>
                <w:sz w:val="16"/>
                <w:szCs w:val="16"/>
              </w:rPr>
              <w:t xml:space="preserve">, service </w:t>
            </w:r>
            <w:proofErr w:type="gramStart"/>
            <w:r w:rsidRPr="27DAC191">
              <w:rPr>
                <w:rFonts w:ascii="Arial" w:eastAsia="Arial" w:hAnsi="Arial" w:cs="Arial"/>
                <w:color w:val="544D55"/>
                <w:sz w:val="16"/>
                <w:szCs w:val="16"/>
              </w:rPr>
              <w:t>date</w:t>
            </w:r>
            <w:proofErr w:type="gramEnd"/>
            <w:r w:rsidRPr="27DAC191">
              <w:rPr>
                <w:rFonts w:ascii="Arial" w:eastAsia="Arial" w:hAnsi="Arial" w:cs="Arial"/>
                <w:color w:val="544D55"/>
                <w:sz w:val="16"/>
                <w:szCs w:val="16"/>
              </w:rPr>
              <w:t>, and provider combinations.</w:t>
            </w:r>
          </w:p>
        </w:tc>
      </w:tr>
      <w:tr w:rsidR="00F41E30" w14:paraId="562993A9"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43554DD8"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10A87E4A" w14:textId="63EE13CC" w:rsidR="27DAC191" w:rsidRDefault="27DAC191" w:rsidP="27DAC191">
            <w:pPr>
              <w:spacing w:before="0" w:after="0"/>
            </w:pPr>
            <w:r w:rsidRPr="27DAC191">
              <w:rPr>
                <w:rFonts w:ascii="Arial" w:eastAsia="Arial" w:hAnsi="Arial" w:cs="Arial"/>
                <w:color w:val="544D55"/>
                <w:sz w:val="16"/>
                <w:szCs w:val="16"/>
              </w:rPr>
              <w:t>Visits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8E74200" w14:textId="0F390011" w:rsidR="27DAC191" w:rsidRDefault="27DAC191" w:rsidP="27DAC191">
            <w:pPr>
              <w:spacing w:before="0" w:after="0"/>
              <w:jc w:val="center"/>
            </w:pPr>
            <w:r w:rsidRPr="27DAC191">
              <w:rPr>
                <w:rFonts w:ascii="Arial" w:eastAsia="Arial" w:hAnsi="Arial" w:cs="Arial"/>
                <w:color w:val="544D55"/>
                <w:sz w:val="16"/>
                <w:szCs w:val="16"/>
              </w:rPr>
              <w:t>BHVT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CBFB62E" w14:textId="4430EECE" w:rsidR="27DAC191" w:rsidRDefault="27DAC191" w:rsidP="27DAC191">
            <w:pPr>
              <w:spacing w:before="0" w:after="0"/>
            </w:pPr>
            <w:r w:rsidRPr="27DAC191">
              <w:rPr>
                <w:rFonts w:ascii="Arial" w:eastAsia="Arial" w:hAnsi="Arial" w:cs="Arial"/>
                <w:color w:val="544D55"/>
                <w:sz w:val="16"/>
                <w:szCs w:val="16"/>
              </w:rPr>
              <w:t>Behavioral Health Visits per 1000 is calculated using Behavioral Health Office Visits and Members Average. (BHV/AM*1000)</w:t>
            </w:r>
          </w:p>
        </w:tc>
      </w:tr>
      <w:tr w:rsidR="00F41E30" w14:paraId="59A76648"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7E27AC69"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6E810DF" w14:textId="513870F9" w:rsidR="27DAC191" w:rsidRDefault="27DAC191" w:rsidP="27DAC191">
            <w:pPr>
              <w:spacing w:before="0" w:after="0"/>
            </w:pPr>
            <w:r w:rsidRPr="27DAC191">
              <w:rPr>
                <w:rFonts w:ascii="Arial" w:eastAsia="Arial" w:hAnsi="Arial" w:cs="Arial"/>
                <w:color w:val="544D55"/>
                <w:sz w:val="16"/>
                <w:szCs w:val="16"/>
              </w:rPr>
              <w:t xml:space="preserve"> % </w:t>
            </w:r>
            <w:proofErr w:type="spellStart"/>
            <w:r w:rsidRPr="27DAC191">
              <w:rPr>
                <w:rFonts w:ascii="Arial" w:eastAsia="Arial" w:hAnsi="Arial" w:cs="Arial"/>
                <w:color w:val="544D55"/>
                <w:sz w:val="16"/>
                <w:szCs w:val="16"/>
              </w:rPr>
              <w:t>Telemed</w:t>
            </w:r>
            <w:proofErr w:type="spell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A3ADB81" w14:textId="5FD43B30" w:rsidR="27DAC191" w:rsidRDefault="27DAC191" w:rsidP="27DAC191">
            <w:pPr>
              <w:spacing w:before="0" w:after="0"/>
              <w:jc w:val="center"/>
            </w:pPr>
            <w:r w:rsidRPr="27DAC191">
              <w:rPr>
                <w:rFonts w:ascii="Arial" w:eastAsia="Arial" w:hAnsi="Arial" w:cs="Arial"/>
                <w:color w:val="544D55"/>
                <w:sz w:val="16"/>
                <w:szCs w:val="16"/>
              </w:rPr>
              <w:t>BHTM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76E44A6" w14:textId="3187CB0E" w:rsidR="27DAC191" w:rsidRDefault="27DAC191" w:rsidP="27DAC191">
            <w:pPr>
              <w:spacing w:before="0" w:after="0"/>
            </w:pPr>
            <w:r w:rsidRPr="27DAC191">
              <w:rPr>
                <w:rFonts w:ascii="Arial" w:eastAsia="Arial" w:hAnsi="Arial" w:cs="Arial"/>
                <w:color w:val="544D55"/>
                <w:sz w:val="16"/>
                <w:szCs w:val="16"/>
              </w:rPr>
              <w:t xml:space="preserve">Behavioral Health Office Visits % </w:t>
            </w:r>
            <w:proofErr w:type="spellStart"/>
            <w:r w:rsidRPr="27DAC191">
              <w:rPr>
                <w:rFonts w:ascii="Arial" w:eastAsia="Arial" w:hAnsi="Arial" w:cs="Arial"/>
                <w:color w:val="544D55"/>
                <w:sz w:val="16"/>
                <w:szCs w:val="16"/>
              </w:rPr>
              <w:t>Telemed</w:t>
            </w:r>
            <w:proofErr w:type="spellEnd"/>
            <w:r w:rsidRPr="27DAC191">
              <w:rPr>
                <w:rFonts w:ascii="Arial" w:eastAsia="Arial" w:hAnsi="Arial" w:cs="Arial"/>
                <w:color w:val="544D55"/>
                <w:sz w:val="16"/>
                <w:szCs w:val="16"/>
              </w:rPr>
              <w:t xml:space="preserve"> is the percentage of Behavioral Health office visits that were conducted through one of several telemedicine routes (audio only, audio/visual, patient monitoring, email or provider-provider consultation). </w:t>
            </w:r>
          </w:p>
        </w:tc>
      </w:tr>
      <w:tr w:rsidR="00F41E30" w14:paraId="7CAD0EE6"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713E7C72"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8387D1C" w14:textId="678454E2"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9215E02" w14:textId="5F893F8E" w:rsidR="27DAC191" w:rsidRDefault="27DAC191" w:rsidP="27DAC191">
            <w:pPr>
              <w:spacing w:before="0" w:after="0"/>
              <w:jc w:val="center"/>
            </w:pPr>
            <w:r w:rsidRPr="27DAC191">
              <w:rPr>
                <w:rFonts w:ascii="Arial" w:eastAsia="Arial" w:hAnsi="Arial" w:cs="Arial"/>
                <w:color w:val="544D55"/>
                <w:sz w:val="16"/>
                <w:szCs w:val="16"/>
              </w:rPr>
              <w:t>BHPC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0737A23" w14:textId="190E58D8" w:rsidR="27DAC191" w:rsidRDefault="27DAC191" w:rsidP="27DAC191">
            <w:pPr>
              <w:spacing w:before="0" w:after="0"/>
            </w:pPr>
            <w:r w:rsidRPr="27DAC191">
              <w:rPr>
                <w:rFonts w:ascii="Arial" w:eastAsia="Arial" w:hAnsi="Arial" w:cs="Arial"/>
                <w:color w:val="544D55"/>
                <w:sz w:val="16"/>
                <w:szCs w:val="16"/>
              </w:rPr>
              <w:t>Behavioral Health Patient Count is the unique count of members who received professional services constrained by taxonomy code and procedure code to align with the Covered CA standard benefit design definition of behavioral health. This field is rounded to the nearest 10, and all metrics calculated using this field are based on the rounded value.</w:t>
            </w:r>
          </w:p>
        </w:tc>
      </w:tr>
      <w:tr w:rsidR="00F41E30" w14:paraId="6ECF6397"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61C768DC"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E858F3C" w14:textId="760A50D1"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4965C0C" w14:textId="7DD44ACB" w:rsidR="27DAC191" w:rsidRDefault="27DAC191" w:rsidP="27DAC191">
            <w:pPr>
              <w:spacing w:before="0" w:after="0"/>
              <w:jc w:val="center"/>
            </w:pPr>
            <w:r w:rsidRPr="27DAC191">
              <w:rPr>
                <w:rFonts w:ascii="Arial" w:eastAsia="Arial" w:hAnsi="Arial" w:cs="Arial"/>
                <w:color w:val="544D55"/>
                <w:sz w:val="16"/>
                <w:szCs w:val="16"/>
              </w:rPr>
              <w:t>BHPT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750A961" w14:textId="79DF86FF" w:rsidR="27DAC191" w:rsidRDefault="27DAC191" w:rsidP="27DAC191">
            <w:pPr>
              <w:spacing w:before="0" w:after="0"/>
            </w:pPr>
            <w:r w:rsidRPr="27DAC191">
              <w:rPr>
                <w:rFonts w:ascii="Arial" w:eastAsia="Arial" w:hAnsi="Arial" w:cs="Arial"/>
                <w:color w:val="544D55"/>
                <w:sz w:val="16"/>
                <w:szCs w:val="16"/>
              </w:rPr>
              <w:t>Behavioral Health Patients per 1000 is calculated using Behavioral Health Patient Count and Members Unique Count. (BHPC/UMC*1000)</w:t>
            </w:r>
          </w:p>
        </w:tc>
      </w:tr>
      <w:tr w:rsidR="00F41E30" w14:paraId="55DB9B8F" w14:textId="77777777" w:rsidTr="005E5D0D">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0DEB3016"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1EBFA216" w14:textId="60451A65"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251C25A" w14:textId="58814BD8" w:rsidR="27DAC191" w:rsidRDefault="27DAC191" w:rsidP="27DAC191">
            <w:pPr>
              <w:spacing w:before="0" w:after="0"/>
              <w:jc w:val="center"/>
            </w:pPr>
            <w:r w:rsidRPr="27DAC191">
              <w:rPr>
                <w:rFonts w:ascii="Arial" w:eastAsia="Arial" w:hAnsi="Arial" w:cs="Arial"/>
                <w:color w:val="544D55"/>
                <w:sz w:val="16"/>
                <w:szCs w:val="16"/>
              </w:rPr>
              <w:t>BHPP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718B259" w14:textId="32A8C92A" w:rsidR="27DAC191" w:rsidRDefault="27DAC191" w:rsidP="27DAC191">
            <w:pPr>
              <w:spacing w:before="0" w:after="0"/>
            </w:pPr>
            <w:r w:rsidRPr="27DAC191">
              <w:rPr>
                <w:rFonts w:ascii="Arial" w:eastAsia="Arial" w:hAnsi="Arial" w:cs="Arial"/>
                <w:color w:val="544D55"/>
                <w:sz w:val="16"/>
                <w:szCs w:val="16"/>
              </w:rPr>
              <w:t xml:space="preserve">Behavior Health Percent of Patients is the percent of total patient count. </w:t>
            </w:r>
            <w:proofErr w:type="gramStart"/>
            <w:r w:rsidRPr="27DAC191">
              <w:rPr>
                <w:rFonts w:ascii="Arial" w:eastAsia="Arial" w:hAnsi="Arial" w:cs="Arial"/>
                <w:color w:val="544D55"/>
                <w:sz w:val="16"/>
                <w:szCs w:val="16"/>
              </w:rPr>
              <w:t>BH[</w:t>
            </w:r>
            <w:proofErr w:type="gramEnd"/>
            <w:r w:rsidRPr="27DAC191">
              <w:rPr>
                <w:rFonts w:ascii="Arial" w:eastAsia="Arial" w:hAnsi="Arial" w:cs="Arial"/>
                <w:color w:val="544D55"/>
                <w:sz w:val="16"/>
                <w:szCs w:val="16"/>
              </w:rPr>
              <w:t>PC/</w:t>
            </w:r>
            <w:proofErr w:type="gramStart"/>
            <w:r w:rsidRPr="27DAC191">
              <w:rPr>
                <w:rFonts w:ascii="Arial" w:eastAsia="Arial" w:hAnsi="Arial" w:cs="Arial"/>
                <w:color w:val="544D55"/>
                <w:sz w:val="16"/>
                <w:szCs w:val="16"/>
              </w:rPr>
              <w:t>BHPC(</w:t>
            </w:r>
            <w:proofErr w:type="gramEnd"/>
            <w:r w:rsidRPr="27DAC191">
              <w:rPr>
                <w:rFonts w:ascii="Arial" w:eastAsia="Arial" w:hAnsi="Arial" w:cs="Arial"/>
                <w:color w:val="544D55"/>
                <w:sz w:val="16"/>
                <w:szCs w:val="16"/>
              </w:rPr>
              <w:t>Grand Total)]</w:t>
            </w:r>
          </w:p>
        </w:tc>
      </w:tr>
      <w:tr w:rsidR="00F41E30" w14:paraId="041BB17F" w14:textId="77777777" w:rsidTr="005E5D0D">
        <w:trPr>
          <w:cantSplit/>
          <w:trHeight w:val="576"/>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right w:w="15" w:type="dxa"/>
            </w:tcMar>
            <w:vAlign w:val="center"/>
          </w:tcPr>
          <w:p w14:paraId="45356FA4" w14:textId="07BBAE35" w:rsidR="27DAC191" w:rsidRDefault="27DAC191" w:rsidP="27DAC191">
            <w:pPr>
              <w:spacing w:before="0" w:after="0"/>
              <w:jc w:val="center"/>
            </w:pPr>
            <w:r w:rsidRPr="27DAC191">
              <w:rPr>
                <w:rFonts w:ascii="Arial" w:eastAsia="Arial" w:hAnsi="Arial" w:cs="Arial"/>
                <w:b/>
                <w:bCs/>
                <w:color w:val="544D55"/>
                <w:sz w:val="16"/>
                <w:szCs w:val="16"/>
              </w:rPr>
              <w:t>Specialist</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1FD41156" w14:textId="7D4FFA1F" w:rsidR="27DAC191" w:rsidRDefault="27DAC191" w:rsidP="27DAC191">
            <w:pPr>
              <w:spacing w:before="0" w:after="0"/>
            </w:pPr>
            <w:r w:rsidRPr="27DAC191">
              <w:rPr>
                <w:rFonts w:ascii="Arial" w:eastAsia="Arial" w:hAnsi="Arial" w:cs="Arial"/>
                <w:color w:val="544D55"/>
                <w:sz w:val="16"/>
                <w:szCs w:val="16"/>
              </w:rPr>
              <w:t>Office Visits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8953F10" w14:textId="579C00D9" w:rsidR="27DAC191" w:rsidRDefault="27DAC191" w:rsidP="27DAC191">
            <w:pPr>
              <w:spacing w:before="0" w:after="0"/>
              <w:jc w:val="center"/>
            </w:pPr>
            <w:r w:rsidRPr="27DAC191">
              <w:rPr>
                <w:rFonts w:ascii="Arial" w:eastAsia="Arial" w:hAnsi="Arial" w:cs="Arial"/>
                <w:color w:val="544D55"/>
                <w:sz w:val="16"/>
                <w:szCs w:val="16"/>
              </w:rPr>
              <w:t>SV</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7B857DF" w14:textId="2E7CB0C6" w:rsidR="27DAC191" w:rsidRDefault="27DAC191" w:rsidP="27DAC191">
            <w:pPr>
              <w:spacing w:before="0" w:after="0"/>
            </w:pPr>
            <w:r w:rsidRPr="27DAC191">
              <w:rPr>
                <w:rFonts w:ascii="Arial" w:eastAsia="Arial" w:hAnsi="Arial" w:cs="Arial"/>
                <w:color w:val="544D55"/>
                <w:sz w:val="16"/>
                <w:szCs w:val="16"/>
              </w:rPr>
              <w:t xml:space="preserve">Specialist Office Visits is the number of professional visits provided in an office setting under medical coverage constrained by taxonomy code and procedure code to align with the Covered CA standard benefit design definition of specialist, including obstetrician gynecologists. The number of visits is based on the count of unique </w:t>
            </w:r>
            <w:proofErr w:type="gramStart"/>
            <w:r w:rsidRPr="27DAC191">
              <w:rPr>
                <w:rFonts w:ascii="Arial" w:eastAsia="Arial" w:hAnsi="Arial" w:cs="Arial"/>
                <w:color w:val="544D55"/>
                <w:sz w:val="16"/>
                <w:szCs w:val="16"/>
              </w:rPr>
              <w:t>patient</w:t>
            </w:r>
            <w:proofErr w:type="gramEnd"/>
            <w:r w:rsidRPr="27DAC191">
              <w:rPr>
                <w:rFonts w:ascii="Arial" w:eastAsia="Arial" w:hAnsi="Arial" w:cs="Arial"/>
                <w:color w:val="544D55"/>
                <w:sz w:val="16"/>
                <w:szCs w:val="16"/>
              </w:rPr>
              <w:t xml:space="preserve">, service </w:t>
            </w:r>
            <w:proofErr w:type="gramStart"/>
            <w:r w:rsidRPr="27DAC191">
              <w:rPr>
                <w:rFonts w:ascii="Arial" w:eastAsia="Arial" w:hAnsi="Arial" w:cs="Arial"/>
                <w:color w:val="544D55"/>
                <w:sz w:val="16"/>
                <w:szCs w:val="16"/>
              </w:rPr>
              <w:t>date</w:t>
            </w:r>
            <w:proofErr w:type="gramEnd"/>
            <w:r w:rsidRPr="27DAC191">
              <w:rPr>
                <w:rFonts w:ascii="Arial" w:eastAsia="Arial" w:hAnsi="Arial" w:cs="Arial"/>
                <w:color w:val="544D55"/>
                <w:sz w:val="16"/>
                <w:szCs w:val="16"/>
              </w:rPr>
              <w:t>, and provider combinations.</w:t>
            </w:r>
          </w:p>
        </w:tc>
      </w:tr>
      <w:tr w:rsidR="00F41E30" w14:paraId="55ACBB09"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22E95E73"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75D21326" w14:textId="08609D02" w:rsidR="27DAC191" w:rsidRDefault="27DAC191" w:rsidP="27DAC191">
            <w:pPr>
              <w:spacing w:before="0" w:after="0"/>
            </w:pPr>
            <w:r w:rsidRPr="27DAC191">
              <w:rPr>
                <w:rFonts w:ascii="Arial" w:eastAsia="Arial" w:hAnsi="Arial" w:cs="Arial"/>
                <w:color w:val="544D55"/>
                <w:sz w:val="16"/>
                <w:szCs w:val="16"/>
              </w:rPr>
              <w:t>Visits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FF8C9A9" w14:textId="08F16167" w:rsidR="27DAC191" w:rsidRDefault="27DAC191" w:rsidP="27DAC191">
            <w:pPr>
              <w:spacing w:before="0" w:after="0"/>
              <w:jc w:val="center"/>
            </w:pPr>
            <w:r w:rsidRPr="27DAC191">
              <w:rPr>
                <w:rFonts w:ascii="Arial" w:eastAsia="Arial" w:hAnsi="Arial" w:cs="Arial"/>
                <w:color w:val="544D55"/>
                <w:sz w:val="16"/>
                <w:szCs w:val="16"/>
              </w:rPr>
              <w:t>SVT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9DAA54C" w14:textId="2EC89D0A" w:rsidR="27DAC191" w:rsidRDefault="27DAC191" w:rsidP="27DAC191">
            <w:pPr>
              <w:spacing w:before="0" w:after="0"/>
            </w:pPr>
            <w:r w:rsidRPr="27DAC191">
              <w:rPr>
                <w:rFonts w:ascii="Arial" w:eastAsia="Arial" w:hAnsi="Arial" w:cs="Arial"/>
                <w:color w:val="544D55"/>
                <w:sz w:val="16"/>
                <w:szCs w:val="16"/>
              </w:rPr>
              <w:t xml:space="preserve">Specialist Visits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Specialist Office Visits and Members Average. (SV/AM*1000)</w:t>
            </w:r>
          </w:p>
        </w:tc>
      </w:tr>
      <w:tr w:rsidR="00F41E30" w14:paraId="4A391637"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33991CF6"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2B6B83C" w14:textId="581095B2"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D222AC8" w14:textId="027E330D" w:rsidR="27DAC191" w:rsidRDefault="27DAC191" w:rsidP="27DAC191">
            <w:pPr>
              <w:spacing w:before="0" w:after="0"/>
              <w:jc w:val="center"/>
            </w:pPr>
            <w:r w:rsidRPr="27DAC191">
              <w:rPr>
                <w:rFonts w:ascii="Arial" w:eastAsia="Arial" w:hAnsi="Arial" w:cs="Arial"/>
                <w:color w:val="544D55"/>
                <w:sz w:val="16"/>
                <w:szCs w:val="16"/>
              </w:rPr>
              <w:t>SPC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D52D6BA" w14:textId="7C9E842A" w:rsidR="27DAC191" w:rsidRDefault="27DAC191" w:rsidP="27DAC191">
            <w:pPr>
              <w:spacing w:before="0" w:after="0"/>
            </w:pPr>
            <w:r w:rsidRPr="27DAC191">
              <w:rPr>
                <w:rFonts w:ascii="Arial" w:eastAsia="Arial" w:hAnsi="Arial" w:cs="Arial"/>
                <w:color w:val="544D55"/>
                <w:sz w:val="16"/>
                <w:szCs w:val="16"/>
              </w:rPr>
              <w:t>Specialist Patient Count is the unique count of members who received professional services constrained by taxonomy code and procedure code to align with the Covered CA standard benefit design definition of specialist, including obstetrician gynecologists. This field is rounded to the nearest 10, and all metrics calculated using this field are based on the rounded value.</w:t>
            </w:r>
          </w:p>
        </w:tc>
      </w:tr>
      <w:tr w:rsidR="00F41E30" w14:paraId="37A5D450"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6C7EAE9D"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33B1556" w14:textId="20F28B73"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292765D" w14:textId="5A31B02D" w:rsidR="27DAC191" w:rsidRDefault="27DAC191" w:rsidP="27DAC191">
            <w:pPr>
              <w:spacing w:before="0" w:after="0"/>
              <w:jc w:val="center"/>
            </w:pPr>
            <w:r w:rsidRPr="27DAC191">
              <w:rPr>
                <w:rFonts w:ascii="Arial" w:eastAsia="Arial" w:hAnsi="Arial" w:cs="Arial"/>
                <w:color w:val="544D55"/>
                <w:sz w:val="16"/>
                <w:szCs w:val="16"/>
              </w:rPr>
              <w:t>SPT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D23A5FE" w14:textId="1BA9B957" w:rsidR="27DAC191" w:rsidRDefault="27DAC191" w:rsidP="27DAC191">
            <w:pPr>
              <w:spacing w:before="0" w:after="0"/>
            </w:pPr>
            <w:r w:rsidRPr="27DAC191">
              <w:rPr>
                <w:rFonts w:ascii="Arial" w:eastAsia="Arial" w:hAnsi="Arial" w:cs="Arial"/>
                <w:color w:val="544D55"/>
                <w:sz w:val="16"/>
                <w:szCs w:val="16"/>
              </w:rPr>
              <w:t xml:space="preserve">Specialist Patients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Specialist Patient Count and Members Unique Count. (SPC/UMC*1000)</w:t>
            </w:r>
          </w:p>
        </w:tc>
      </w:tr>
      <w:tr w:rsidR="00F41E30" w14:paraId="6BF6CD2C" w14:textId="77777777" w:rsidTr="005E5D0D">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6ED6A019"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64D964E7" w14:textId="61B8F133"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B50F1AB" w14:textId="7A20023C" w:rsidR="27DAC191" w:rsidRDefault="27DAC191" w:rsidP="27DAC191">
            <w:pPr>
              <w:spacing w:before="0" w:after="0"/>
              <w:jc w:val="center"/>
            </w:pPr>
            <w:r w:rsidRPr="27DAC191">
              <w:rPr>
                <w:rFonts w:ascii="Arial" w:eastAsia="Arial" w:hAnsi="Arial" w:cs="Arial"/>
                <w:color w:val="544D55"/>
                <w:sz w:val="16"/>
                <w:szCs w:val="16"/>
              </w:rPr>
              <w:t>SPP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172D25B" w14:textId="1FC7DC79" w:rsidR="27DAC191" w:rsidRDefault="27DAC191" w:rsidP="27DAC191">
            <w:pPr>
              <w:spacing w:before="0" w:after="0"/>
            </w:pPr>
            <w:r w:rsidRPr="27DAC191">
              <w:rPr>
                <w:rFonts w:ascii="Arial" w:eastAsia="Arial" w:hAnsi="Arial" w:cs="Arial"/>
                <w:color w:val="544D55"/>
                <w:sz w:val="16"/>
                <w:szCs w:val="16"/>
              </w:rPr>
              <w:t>Specialist Percent of Patients is the percent of total patient count. [SPC/</w:t>
            </w:r>
            <w:proofErr w:type="gramStart"/>
            <w:r w:rsidRPr="27DAC191">
              <w:rPr>
                <w:rFonts w:ascii="Arial" w:eastAsia="Arial" w:hAnsi="Arial" w:cs="Arial"/>
                <w:color w:val="544D55"/>
                <w:sz w:val="16"/>
                <w:szCs w:val="16"/>
              </w:rPr>
              <w:t>SPC(</w:t>
            </w:r>
            <w:proofErr w:type="gramEnd"/>
            <w:r w:rsidRPr="27DAC191">
              <w:rPr>
                <w:rFonts w:ascii="Arial" w:eastAsia="Arial" w:hAnsi="Arial" w:cs="Arial"/>
                <w:color w:val="544D55"/>
                <w:sz w:val="16"/>
                <w:szCs w:val="16"/>
              </w:rPr>
              <w:t>Grand Total)]</w:t>
            </w:r>
          </w:p>
        </w:tc>
      </w:tr>
      <w:tr w:rsidR="00F41E30" w14:paraId="4CC6FA21" w14:textId="77777777" w:rsidTr="005E5D0D">
        <w:trPr>
          <w:cantSplit/>
          <w:trHeight w:val="576"/>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F8"/>
            <w:tcMar>
              <w:top w:w="15" w:type="dxa"/>
              <w:left w:w="15" w:type="dxa"/>
              <w:right w:w="15" w:type="dxa"/>
            </w:tcMar>
            <w:vAlign w:val="center"/>
          </w:tcPr>
          <w:p w14:paraId="4AADB69F" w14:textId="59E7E182" w:rsidR="27DAC191" w:rsidRDefault="27DAC191" w:rsidP="27DAC191">
            <w:pPr>
              <w:spacing w:before="0" w:after="0"/>
              <w:jc w:val="center"/>
            </w:pPr>
            <w:r w:rsidRPr="27DAC191">
              <w:rPr>
                <w:rFonts w:ascii="Arial" w:eastAsia="Arial" w:hAnsi="Arial" w:cs="Arial"/>
                <w:b/>
                <w:bCs/>
                <w:color w:val="544D55"/>
                <w:sz w:val="16"/>
                <w:szCs w:val="16"/>
              </w:rPr>
              <w:t>Emergency</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623583B" w14:textId="26EE5339" w:rsidR="27DAC191" w:rsidRDefault="27DAC191" w:rsidP="27DAC191">
            <w:pPr>
              <w:spacing w:before="0" w:after="0"/>
            </w:pPr>
            <w:r w:rsidRPr="27DAC191">
              <w:rPr>
                <w:rFonts w:ascii="Arial" w:eastAsia="Arial" w:hAnsi="Arial" w:cs="Arial"/>
                <w:color w:val="544D55"/>
                <w:sz w:val="16"/>
                <w:szCs w:val="16"/>
              </w:rPr>
              <w:t>ER Visits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CD607F8" w14:textId="01BAF0FF" w:rsidR="27DAC191" w:rsidRDefault="27DAC191" w:rsidP="27DAC191">
            <w:pPr>
              <w:spacing w:before="0" w:after="0"/>
              <w:jc w:val="center"/>
            </w:pPr>
            <w:r w:rsidRPr="27DAC191">
              <w:rPr>
                <w:rFonts w:ascii="Arial" w:eastAsia="Arial" w:hAnsi="Arial" w:cs="Arial"/>
                <w:color w:val="544D55"/>
                <w:sz w:val="16"/>
                <w:szCs w:val="16"/>
              </w:rPr>
              <w:t>ERV</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D463725" w14:textId="4D0720AE" w:rsidR="27DAC191" w:rsidRDefault="27DAC191" w:rsidP="27DAC191">
            <w:pPr>
              <w:spacing w:before="0" w:after="0"/>
            </w:pPr>
            <w:r w:rsidRPr="27DAC191">
              <w:rPr>
                <w:rFonts w:ascii="Arial" w:eastAsia="Arial" w:hAnsi="Arial" w:cs="Arial"/>
                <w:color w:val="544D55"/>
                <w:sz w:val="16"/>
                <w:szCs w:val="16"/>
              </w:rPr>
              <w:t xml:space="preserve">Emergency Visits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the number of emergency room visits provided under medical coverage. The number of visits is based on the count of unique patient and service date combinations. This does not include ER visits that resulted in an admission.</w:t>
            </w:r>
          </w:p>
        </w:tc>
      </w:tr>
      <w:tr w:rsidR="00F41E30" w14:paraId="6EAF6693"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77C03A8A"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4BA0E6E5" w14:textId="3B4046CF" w:rsidR="27DAC191" w:rsidRDefault="27DAC191" w:rsidP="27DAC191">
            <w:pPr>
              <w:spacing w:before="0" w:after="0"/>
            </w:pPr>
            <w:r w:rsidRPr="27DAC191">
              <w:rPr>
                <w:rFonts w:ascii="Arial" w:eastAsia="Arial" w:hAnsi="Arial" w:cs="Arial"/>
                <w:color w:val="544D55"/>
                <w:sz w:val="16"/>
                <w:szCs w:val="16"/>
              </w:rPr>
              <w:t>Visits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2BD5210" w14:textId="46513417" w:rsidR="27DAC191" w:rsidRDefault="27DAC191" w:rsidP="27DAC191">
            <w:pPr>
              <w:spacing w:before="0" w:after="0"/>
              <w:jc w:val="center"/>
            </w:pPr>
            <w:r w:rsidRPr="27DAC191">
              <w:rPr>
                <w:rFonts w:ascii="Arial" w:eastAsia="Arial" w:hAnsi="Arial" w:cs="Arial"/>
                <w:color w:val="544D55"/>
                <w:sz w:val="16"/>
                <w:szCs w:val="16"/>
              </w:rPr>
              <w:t>ERVT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1F44969" w14:textId="34C513D8" w:rsidR="27DAC191" w:rsidRDefault="27DAC191" w:rsidP="27DAC191">
            <w:pPr>
              <w:spacing w:before="0" w:after="0"/>
            </w:pPr>
            <w:r w:rsidRPr="27DAC191">
              <w:rPr>
                <w:rFonts w:ascii="Arial" w:eastAsia="Arial" w:hAnsi="Arial" w:cs="Arial"/>
                <w:color w:val="544D55"/>
                <w:sz w:val="16"/>
                <w:szCs w:val="16"/>
              </w:rPr>
              <w:t xml:space="preserve">Emergency Visits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Emergency Visits and Members Average. (ERV/AM*1000)</w:t>
            </w:r>
          </w:p>
        </w:tc>
      </w:tr>
      <w:tr w:rsidR="00F41E30" w14:paraId="176A896A"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4A4AFC15"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43AE514" w14:textId="230E13E5"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D77AA97" w14:textId="1C7E32CD" w:rsidR="27DAC191" w:rsidRDefault="27DAC191" w:rsidP="27DAC191">
            <w:pPr>
              <w:spacing w:before="0" w:after="0"/>
              <w:jc w:val="center"/>
            </w:pPr>
            <w:r w:rsidRPr="27DAC191">
              <w:rPr>
                <w:rFonts w:ascii="Arial" w:eastAsia="Arial" w:hAnsi="Arial" w:cs="Arial"/>
                <w:color w:val="544D55"/>
                <w:sz w:val="16"/>
                <w:szCs w:val="16"/>
              </w:rPr>
              <w:t>ERPC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21563F9" w14:textId="0944EB73" w:rsidR="27DAC191" w:rsidRDefault="27DAC191" w:rsidP="27DAC191">
            <w:pPr>
              <w:spacing w:before="0" w:after="0"/>
            </w:pPr>
            <w:r w:rsidRPr="27DAC191">
              <w:rPr>
                <w:rFonts w:ascii="Arial" w:eastAsia="Arial" w:hAnsi="Arial" w:cs="Arial"/>
                <w:color w:val="544D55"/>
                <w:sz w:val="16"/>
                <w:szCs w:val="16"/>
              </w:rPr>
              <w:t>Emergency Patient Count is the unique count of members who received emergency room services not resulting in an admission. This field is rounded to the nearest 10, and all metrics calculated using this field are based on the rounded value.</w:t>
            </w:r>
          </w:p>
        </w:tc>
      </w:tr>
      <w:tr w:rsidR="00F41E30" w14:paraId="505A2353" w14:textId="77777777" w:rsidTr="005E5D0D">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03E10EED"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77A5CA09" w14:textId="738F4961"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90670BB" w14:textId="0F70B3F3" w:rsidR="27DAC191" w:rsidRDefault="27DAC191" w:rsidP="27DAC191">
            <w:pPr>
              <w:spacing w:before="0" w:after="0"/>
              <w:jc w:val="center"/>
            </w:pPr>
            <w:r w:rsidRPr="27DAC191">
              <w:rPr>
                <w:rFonts w:ascii="Arial" w:eastAsia="Arial" w:hAnsi="Arial" w:cs="Arial"/>
                <w:color w:val="544D55"/>
                <w:sz w:val="16"/>
                <w:szCs w:val="16"/>
              </w:rPr>
              <w:t>ERPT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9AAC603" w14:textId="2C0EC7F6" w:rsidR="27DAC191" w:rsidRDefault="27DAC191" w:rsidP="27DAC191">
            <w:pPr>
              <w:spacing w:before="0" w:after="0"/>
            </w:pPr>
            <w:r w:rsidRPr="27DAC191">
              <w:rPr>
                <w:rFonts w:ascii="Arial" w:eastAsia="Arial" w:hAnsi="Arial" w:cs="Arial"/>
                <w:color w:val="544D55"/>
                <w:sz w:val="16"/>
                <w:szCs w:val="16"/>
              </w:rPr>
              <w:t xml:space="preserve">Emergency Patients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Emergency Patient Count and Members Unique Count. (ERPC/UMC*1000)</w:t>
            </w:r>
          </w:p>
        </w:tc>
      </w:tr>
      <w:tr w:rsidR="00F41E30" w14:paraId="58E4F43F" w14:textId="77777777" w:rsidTr="005E5D0D">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46ED0A7C"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37E21881" w14:textId="5E9B1427"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1465A75" w14:textId="621F8ADE" w:rsidR="27DAC191" w:rsidRDefault="27DAC191" w:rsidP="27DAC191">
            <w:pPr>
              <w:spacing w:before="0" w:after="0"/>
              <w:jc w:val="center"/>
            </w:pPr>
            <w:r w:rsidRPr="27DAC191">
              <w:rPr>
                <w:rFonts w:ascii="Arial" w:eastAsia="Arial" w:hAnsi="Arial" w:cs="Arial"/>
                <w:color w:val="544D55"/>
                <w:sz w:val="16"/>
                <w:szCs w:val="16"/>
              </w:rPr>
              <w:t>EPP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D1B0D64" w14:textId="0BFABFE8" w:rsidR="27DAC191" w:rsidRDefault="27DAC191" w:rsidP="27DAC191">
            <w:pPr>
              <w:spacing w:before="0" w:after="0"/>
            </w:pPr>
            <w:r w:rsidRPr="27DAC191">
              <w:rPr>
                <w:rFonts w:ascii="Arial" w:eastAsia="Arial" w:hAnsi="Arial" w:cs="Arial"/>
                <w:color w:val="544D55"/>
                <w:sz w:val="16"/>
                <w:szCs w:val="16"/>
              </w:rPr>
              <w:t>Emergency Percent of Patients is the percent of total patient count. [ERPC/</w:t>
            </w:r>
            <w:proofErr w:type="gramStart"/>
            <w:r w:rsidRPr="27DAC191">
              <w:rPr>
                <w:rFonts w:ascii="Arial" w:eastAsia="Arial" w:hAnsi="Arial" w:cs="Arial"/>
                <w:color w:val="544D55"/>
                <w:sz w:val="16"/>
                <w:szCs w:val="16"/>
              </w:rPr>
              <w:t>ERPC(</w:t>
            </w:r>
            <w:proofErr w:type="gramEnd"/>
            <w:r w:rsidRPr="27DAC191">
              <w:rPr>
                <w:rFonts w:ascii="Arial" w:eastAsia="Arial" w:hAnsi="Arial" w:cs="Arial"/>
                <w:color w:val="544D55"/>
                <w:sz w:val="16"/>
                <w:szCs w:val="16"/>
              </w:rPr>
              <w:t>Grand Total)]</w:t>
            </w:r>
          </w:p>
        </w:tc>
      </w:tr>
    </w:tbl>
    <w:p w14:paraId="7DC64713" w14:textId="229B1A5F" w:rsidR="003E1A77" w:rsidRDefault="003E1A77">
      <w:r>
        <w:br w:type="page"/>
      </w:r>
    </w:p>
    <w:tbl>
      <w:tblPr>
        <w:tblW w:w="9360" w:type="dxa"/>
        <w:tblInd w:w="-5" w:type="dxa"/>
        <w:tblLayout w:type="fixed"/>
        <w:tblLook w:val="06A0" w:firstRow="1" w:lastRow="0" w:firstColumn="1" w:lastColumn="0" w:noHBand="1" w:noVBand="1"/>
      </w:tblPr>
      <w:tblGrid>
        <w:gridCol w:w="1215"/>
        <w:gridCol w:w="900"/>
        <w:gridCol w:w="645"/>
        <w:gridCol w:w="6600"/>
      </w:tblGrid>
      <w:tr w:rsidR="00F41E30" w14:paraId="02AA8915" w14:textId="77777777" w:rsidTr="003E1A77">
        <w:trPr>
          <w:cantSplit/>
          <w:trHeight w:val="720"/>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right w:w="15" w:type="dxa"/>
            </w:tcMar>
            <w:vAlign w:val="center"/>
          </w:tcPr>
          <w:p w14:paraId="7891364B" w14:textId="09A443B6" w:rsidR="27DAC191" w:rsidRDefault="27DAC191" w:rsidP="27DAC191">
            <w:pPr>
              <w:spacing w:before="0" w:after="0"/>
              <w:jc w:val="center"/>
            </w:pPr>
            <w:r w:rsidRPr="27DAC191">
              <w:rPr>
                <w:rFonts w:ascii="Arial" w:eastAsia="Arial" w:hAnsi="Arial" w:cs="Arial"/>
                <w:b/>
                <w:bCs/>
                <w:color w:val="544D55"/>
                <w:sz w:val="16"/>
                <w:szCs w:val="16"/>
              </w:rPr>
              <w:lastRenderedPageBreak/>
              <w:t>Admissions</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6FD5088F" w14:textId="139D005A" w:rsidR="27DAC191" w:rsidRDefault="27DAC191" w:rsidP="27DAC191">
            <w:pPr>
              <w:spacing w:before="0" w:after="0"/>
            </w:pPr>
            <w:r w:rsidRPr="27DAC191">
              <w:rPr>
                <w:rFonts w:ascii="Arial" w:eastAsia="Arial" w:hAnsi="Arial" w:cs="Arial"/>
                <w:color w:val="544D55"/>
                <w:sz w:val="16"/>
                <w:szCs w:val="16"/>
              </w:rPr>
              <w:t>Admissions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392B087" w14:textId="31EDDAC6" w:rsidR="27DAC191" w:rsidRDefault="27DAC191" w:rsidP="27DAC191">
            <w:pPr>
              <w:spacing w:before="0" w:after="0"/>
              <w:jc w:val="center"/>
            </w:pPr>
            <w:r w:rsidRPr="27DAC191">
              <w:rPr>
                <w:rFonts w:ascii="Arial" w:eastAsia="Arial" w:hAnsi="Arial" w:cs="Arial"/>
                <w:color w:val="544D55"/>
                <w:sz w:val="16"/>
                <w:szCs w:val="16"/>
              </w:rPr>
              <w:t>AA</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C90CEF4" w14:textId="0956DEBF" w:rsidR="27DAC191" w:rsidRDefault="27DAC191" w:rsidP="27DAC191">
            <w:pPr>
              <w:spacing w:before="0" w:after="0"/>
            </w:pPr>
            <w:r w:rsidRPr="27DAC191">
              <w:rPr>
                <w:rFonts w:ascii="Arial" w:eastAsia="Arial" w:hAnsi="Arial" w:cs="Arial"/>
                <w:color w:val="544D55"/>
                <w:sz w:val="16"/>
                <w:szCs w:val="16"/>
              </w:rPr>
              <w:t xml:space="preserve">Admissions </w:t>
            </w:r>
            <w:proofErr w:type="gramStart"/>
            <w:r w:rsidRPr="27DAC191">
              <w:rPr>
                <w:rFonts w:ascii="Arial" w:eastAsia="Arial" w:hAnsi="Arial" w:cs="Arial"/>
                <w:color w:val="544D55"/>
                <w:sz w:val="16"/>
                <w:szCs w:val="16"/>
              </w:rPr>
              <w:t>identifies</w:t>
            </w:r>
            <w:proofErr w:type="gramEnd"/>
            <w:r w:rsidRPr="27DAC191">
              <w:rPr>
                <w:rFonts w:ascii="Arial" w:eastAsia="Arial" w:hAnsi="Arial" w:cs="Arial"/>
                <w:color w:val="544D55"/>
                <w:sz w:val="16"/>
                <w:szCs w:val="16"/>
              </w:rPr>
              <w:t xml:space="preserve"> admissions that took place in an acute inpatient setting. Acute inpatient settings include inpatient hospitals, birthing centers, inpatient psychiatric facilities, and residential substance abuse treatment facilities. </w:t>
            </w:r>
          </w:p>
        </w:tc>
      </w:tr>
      <w:tr w:rsidR="00F41E30" w14:paraId="10C6E595" w14:textId="77777777" w:rsidTr="003E1A77">
        <w:trPr>
          <w:cantSplit/>
          <w:trHeight w:val="720"/>
        </w:trPr>
        <w:tc>
          <w:tcPr>
            <w:tcW w:w="1215" w:type="dxa"/>
            <w:vMerge/>
            <w:tcBorders>
              <w:left w:val="single" w:sz="0" w:space="0" w:color="808080" w:themeColor="background1" w:themeShade="80"/>
              <w:right w:val="single" w:sz="0" w:space="0" w:color="808080" w:themeColor="background1" w:themeShade="80"/>
            </w:tcBorders>
            <w:vAlign w:val="center"/>
          </w:tcPr>
          <w:p w14:paraId="7D7A461F"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EA3EFCD" w14:textId="0F03206B" w:rsidR="27DAC191" w:rsidRDefault="27DAC191" w:rsidP="27DAC191">
            <w:pPr>
              <w:spacing w:before="0" w:after="0"/>
            </w:pPr>
            <w:r w:rsidRPr="27DAC191">
              <w:rPr>
                <w:rFonts w:ascii="Arial" w:eastAsia="Arial" w:hAnsi="Arial" w:cs="Arial"/>
                <w:color w:val="544D55"/>
                <w:sz w:val="16"/>
                <w:szCs w:val="16"/>
              </w:rPr>
              <w:t>Admits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6E4B636" w14:textId="1EEE9AE0" w:rsidR="27DAC191" w:rsidRDefault="27DAC191" w:rsidP="27DAC191">
            <w:pPr>
              <w:spacing w:before="0" w:after="0"/>
              <w:jc w:val="center"/>
            </w:pPr>
            <w:r w:rsidRPr="27DAC191">
              <w:rPr>
                <w:rFonts w:ascii="Arial" w:eastAsia="Arial" w:hAnsi="Arial" w:cs="Arial"/>
                <w:color w:val="544D55"/>
                <w:sz w:val="16"/>
                <w:szCs w:val="16"/>
              </w:rPr>
              <w:t>AT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542BD2D" w14:textId="36B8569A" w:rsidR="27DAC191" w:rsidRDefault="27DAC191" w:rsidP="27DAC191">
            <w:pPr>
              <w:spacing w:before="0" w:after="0"/>
            </w:pPr>
            <w:r w:rsidRPr="27DAC191">
              <w:rPr>
                <w:rFonts w:ascii="Arial" w:eastAsia="Arial" w:hAnsi="Arial" w:cs="Arial"/>
                <w:color w:val="544D55"/>
                <w:sz w:val="16"/>
                <w:szCs w:val="16"/>
              </w:rPr>
              <w:t xml:space="preserve">Admits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Admissions and Members Average. (AA/AM*1000)</w:t>
            </w:r>
          </w:p>
        </w:tc>
      </w:tr>
      <w:tr w:rsidR="00F41E30" w14:paraId="21899A68"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0E2DC3F3"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4879A13C" w14:textId="59AB2FDB" w:rsidR="27DAC191" w:rsidRDefault="27DAC191" w:rsidP="27DAC191">
            <w:pPr>
              <w:spacing w:before="0" w:after="0"/>
            </w:pPr>
            <w:r w:rsidRPr="27DAC191">
              <w:rPr>
                <w:rFonts w:ascii="Arial" w:eastAsia="Arial" w:hAnsi="Arial" w:cs="Arial"/>
                <w:color w:val="544D55"/>
                <w:sz w:val="16"/>
                <w:szCs w:val="16"/>
              </w:rPr>
              <w:t>Days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8E00093" w14:textId="027D51C3" w:rsidR="27DAC191" w:rsidRDefault="27DAC191" w:rsidP="27DAC191">
            <w:pPr>
              <w:spacing w:before="0" w:after="0"/>
              <w:jc w:val="center"/>
            </w:pPr>
            <w:r w:rsidRPr="27DAC191">
              <w:rPr>
                <w:rFonts w:ascii="Arial" w:eastAsia="Arial" w:hAnsi="Arial" w:cs="Arial"/>
                <w:color w:val="544D55"/>
                <w:sz w:val="16"/>
                <w:szCs w:val="16"/>
              </w:rPr>
              <w:t>AD</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C2990CC" w14:textId="3B52E5EC" w:rsidR="27DAC191" w:rsidRDefault="27DAC191" w:rsidP="27DAC191">
            <w:pPr>
              <w:spacing w:before="0" w:after="0"/>
            </w:pPr>
            <w:r w:rsidRPr="27DAC191">
              <w:rPr>
                <w:rFonts w:ascii="Arial" w:eastAsia="Arial" w:hAnsi="Arial" w:cs="Arial"/>
                <w:color w:val="544D55"/>
                <w:sz w:val="16"/>
                <w:szCs w:val="16"/>
              </w:rPr>
              <w:t xml:space="preserve">Admission Days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the number of inpatient days in a hospital or other inpatient facility resulting from acute admissions.</w:t>
            </w:r>
          </w:p>
        </w:tc>
      </w:tr>
      <w:tr w:rsidR="00F41E30" w14:paraId="3E2C891F"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65B41FBF"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4351EDD" w14:textId="7DEC0C1E" w:rsidR="27DAC191" w:rsidRDefault="27DAC191" w:rsidP="27DAC191">
            <w:pPr>
              <w:spacing w:before="0" w:after="0"/>
            </w:pPr>
            <w:r w:rsidRPr="27DAC191">
              <w:rPr>
                <w:rFonts w:ascii="Arial" w:eastAsia="Arial" w:hAnsi="Arial" w:cs="Arial"/>
                <w:color w:val="544D55"/>
                <w:sz w:val="16"/>
                <w:szCs w:val="16"/>
              </w:rPr>
              <w:t>Days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2D58916" w14:textId="4E77398A" w:rsidR="27DAC191" w:rsidRDefault="27DAC191" w:rsidP="27DAC191">
            <w:pPr>
              <w:spacing w:before="0" w:after="0"/>
              <w:jc w:val="center"/>
            </w:pPr>
            <w:r w:rsidRPr="27DAC191">
              <w:rPr>
                <w:rFonts w:ascii="Arial" w:eastAsia="Arial" w:hAnsi="Arial" w:cs="Arial"/>
                <w:color w:val="544D55"/>
                <w:sz w:val="16"/>
                <w:szCs w:val="16"/>
              </w:rPr>
              <w:t>ADT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42C6FCE" w14:textId="4656EF6B" w:rsidR="27DAC191" w:rsidRDefault="27DAC191" w:rsidP="27DAC191">
            <w:pPr>
              <w:spacing w:before="0" w:after="0"/>
            </w:pPr>
            <w:r w:rsidRPr="27DAC191">
              <w:rPr>
                <w:rFonts w:ascii="Arial" w:eastAsia="Arial" w:hAnsi="Arial" w:cs="Arial"/>
                <w:color w:val="544D55"/>
                <w:sz w:val="16"/>
                <w:szCs w:val="16"/>
              </w:rPr>
              <w:t xml:space="preserve">Admission Days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Admission Days and Average Member Count. (AD/AM*1000)</w:t>
            </w:r>
          </w:p>
        </w:tc>
      </w:tr>
      <w:tr w:rsidR="00F41E30" w14:paraId="16F95513" w14:textId="77777777" w:rsidTr="003E1A77">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0EC275C6"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67301F65" w14:textId="553351BA"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E607034" w14:textId="69B1BCE4" w:rsidR="27DAC191" w:rsidRDefault="27DAC191" w:rsidP="27DAC191">
            <w:pPr>
              <w:spacing w:before="0" w:after="0"/>
              <w:jc w:val="center"/>
            </w:pPr>
            <w:r w:rsidRPr="27DAC191">
              <w:rPr>
                <w:rFonts w:ascii="Arial" w:eastAsia="Arial" w:hAnsi="Arial" w:cs="Arial"/>
                <w:color w:val="544D55"/>
                <w:sz w:val="16"/>
                <w:szCs w:val="16"/>
              </w:rPr>
              <w:t>APC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49712D2" w14:textId="4CD6CAD1" w:rsidR="27DAC191" w:rsidRDefault="27DAC191" w:rsidP="27DAC191">
            <w:pPr>
              <w:spacing w:before="0" w:after="0"/>
            </w:pPr>
            <w:r w:rsidRPr="27DAC191">
              <w:rPr>
                <w:rFonts w:ascii="Arial" w:eastAsia="Arial" w:hAnsi="Arial" w:cs="Arial"/>
                <w:color w:val="544D55"/>
                <w:sz w:val="16"/>
                <w:szCs w:val="16"/>
              </w:rPr>
              <w:t xml:space="preserve">Admission Patient Count is the unique count of patients with </w:t>
            </w:r>
            <w:proofErr w:type="gramStart"/>
            <w:r w:rsidRPr="27DAC191">
              <w:rPr>
                <w:rFonts w:ascii="Arial" w:eastAsia="Arial" w:hAnsi="Arial" w:cs="Arial"/>
                <w:color w:val="544D55"/>
                <w:sz w:val="16"/>
                <w:szCs w:val="16"/>
              </w:rPr>
              <w:t>an acute</w:t>
            </w:r>
            <w:proofErr w:type="gramEnd"/>
            <w:r w:rsidRPr="27DAC191">
              <w:rPr>
                <w:rFonts w:ascii="Arial" w:eastAsia="Arial" w:hAnsi="Arial" w:cs="Arial"/>
                <w:color w:val="544D55"/>
                <w:sz w:val="16"/>
                <w:szCs w:val="16"/>
              </w:rPr>
              <w:t xml:space="preserve"> admission. This field is rounded to the nearest 10, and all metrics calculated using this field are based on the rounded value.</w:t>
            </w:r>
          </w:p>
        </w:tc>
      </w:tr>
      <w:tr w:rsidR="00F41E30" w14:paraId="56771DFD"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2294AE50"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10D6517E" w14:textId="6DE8CCD4"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FC8AE6E" w14:textId="1B9259AA" w:rsidR="27DAC191" w:rsidRDefault="27DAC191" w:rsidP="27DAC191">
            <w:pPr>
              <w:spacing w:before="0" w:after="0"/>
              <w:jc w:val="center"/>
            </w:pPr>
            <w:r w:rsidRPr="27DAC191">
              <w:rPr>
                <w:rFonts w:ascii="Arial" w:eastAsia="Arial" w:hAnsi="Arial" w:cs="Arial"/>
                <w:color w:val="544D55"/>
                <w:sz w:val="16"/>
                <w:szCs w:val="16"/>
              </w:rPr>
              <w:t>APT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4FAAFDD" w14:textId="2A5725AA" w:rsidR="27DAC191" w:rsidRDefault="27DAC191" w:rsidP="27DAC191">
            <w:pPr>
              <w:spacing w:before="0" w:after="0"/>
            </w:pPr>
            <w:r w:rsidRPr="27DAC191">
              <w:rPr>
                <w:rFonts w:ascii="Arial" w:eastAsia="Arial" w:hAnsi="Arial" w:cs="Arial"/>
                <w:color w:val="544D55"/>
                <w:sz w:val="16"/>
                <w:szCs w:val="16"/>
              </w:rPr>
              <w:t xml:space="preserve">Admission Patients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Admission Patient Count and Unique Member Count. (APC/UMC*1000)</w:t>
            </w:r>
          </w:p>
        </w:tc>
      </w:tr>
      <w:tr w:rsidR="00F41E30" w14:paraId="7F0CF87F" w14:textId="77777777" w:rsidTr="003E1A77">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6D01E0F0"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5435C60" w14:textId="5416801B"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1171D50" w14:textId="405DB0B2" w:rsidR="27DAC191" w:rsidRDefault="27DAC191" w:rsidP="27DAC191">
            <w:pPr>
              <w:spacing w:before="0" w:after="0"/>
              <w:jc w:val="center"/>
            </w:pPr>
            <w:r w:rsidRPr="27DAC191">
              <w:rPr>
                <w:rFonts w:ascii="Arial" w:eastAsia="Arial" w:hAnsi="Arial" w:cs="Arial"/>
                <w:color w:val="544D55"/>
                <w:sz w:val="16"/>
                <w:szCs w:val="16"/>
              </w:rPr>
              <w:t>APP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BCD12E4" w14:textId="4EC54BC8" w:rsidR="27DAC191" w:rsidRDefault="27DAC191" w:rsidP="27DAC191">
            <w:pPr>
              <w:spacing w:before="0" w:after="0"/>
            </w:pPr>
            <w:r w:rsidRPr="27DAC191">
              <w:rPr>
                <w:rFonts w:ascii="Arial" w:eastAsia="Arial" w:hAnsi="Arial" w:cs="Arial"/>
                <w:color w:val="544D55"/>
                <w:sz w:val="16"/>
                <w:szCs w:val="16"/>
              </w:rPr>
              <w:t>Admission Percent of Patients is the percent of total patient count. [APC/</w:t>
            </w:r>
            <w:proofErr w:type="gramStart"/>
            <w:r w:rsidRPr="27DAC191">
              <w:rPr>
                <w:rFonts w:ascii="Arial" w:eastAsia="Arial" w:hAnsi="Arial" w:cs="Arial"/>
                <w:color w:val="544D55"/>
                <w:sz w:val="16"/>
                <w:szCs w:val="16"/>
              </w:rPr>
              <w:t>APC(</w:t>
            </w:r>
            <w:proofErr w:type="gramEnd"/>
            <w:r w:rsidRPr="27DAC191">
              <w:rPr>
                <w:rFonts w:ascii="Arial" w:eastAsia="Arial" w:hAnsi="Arial" w:cs="Arial"/>
                <w:color w:val="544D55"/>
                <w:sz w:val="16"/>
                <w:szCs w:val="16"/>
              </w:rPr>
              <w:t>Grand Total)]</w:t>
            </w:r>
          </w:p>
        </w:tc>
      </w:tr>
      <w:tr w:rsidR="00F41E30" w14:paraId="1FCA236E" w14:textId="77777777" w:rsidTr="003E1A77">
        <w:trPr>
          <w:cantSplit/>
          <w:trHeight w:val="576"/>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4EDF8"/>
            <w:tcMar>
              <w:top w:w="15" w:type="dxa"/>
              <w:left w:w="15" w:type="dxa"/>
              <w:right w:w="15" w:type="dxa"/>
            </w:tcMar>
            <w:vAlign w:val="center"/>
          </w:tcPr>
          <w:p w14:paraId="4E86E911" w14:textId="55D52162" w:rsidR="27DAC191" w:rsidRDefault="27DAC191" w:rsidP="27DAC191">
            <w:pPr>
              <w:spacing w:before="0" w:after="0"/>
              <w:jc w:val="center"/>
            </w:pPr>
            <w:r w:rsidRPr="27DAC191">
              <w:rPr>
                <w:rFonts w:ascii="Arial" w:eastAsia="Arial" w:hAnsi="Arial" w:cs="Arial"/>
                <w:b/>
                <w:bCs/>
                <w:color w:val="544D55"/>
                <w:sz w:val="16"/>
                <w:szCs w:val="16"/>
              </w:rPr>
              <w:t>Pharmacy</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01F22607" w14:textId="63300EF9" w:rsidR="27DAC191" w:rsidRDefault="27DAC191" w:rsidP="27DAC191">
            <w:pPr>
              <w:spacing w:before="0" w:after="0"/>
            </w:pPr>
            <w:r w:rsidRPr="27DAC191">
              <w:rPr>
                <w:rFonts w:ascii="Arial" w:eastAsia="Arial" w:hAnsi="Arial" w:cs="Arial"/>
                <w:color w:val="544D55"/>
                <w:sz w:val="16"/>
                <w:szCs w:val="16"/>
              </w:rPr>
              <w:t>Scripts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AA889DB" w14:textId="23454F9B" w:rsidR="27DAC191" w:rsidRDefault="27DAC191" w:rsidP="27DAC191">
            <w:pPr>
              <w:spacing w:before="0" w:after="0"/>
              <w:jc w:val="center"/>
            </w:pPr>
            <w:r w:rsidRPr="27DAC191">
              <w:rPr>
                <w:rFonts w:ascii="Arial" w:eastAsia="Arial" w:hAnsi="Arial" w:cs="Arial"/>
                <w:color w:val="544D55"/>
                <w:sz w:val="16"/>
                <w:szCs w:val="16"/>
              </w:rPr>
              <w:t>RXS</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E538BAB" w14:textId="2E30E7CE" w:rsidR="27DAC191" w:rsidRDefault="27DAC191" w:rsidP="27DAC191">
            <w:pPr>
              <w:spacing w:before="0" w:after="0"/>
            </w:pPr>
            <w:r w:rsidRPr="27DAC191">
              <w:rPr>
                <w:rFonts w:ascii="Arial" w:eastAsia="Arial" w:hAnsi="Arial" w:cs="Arial"/>
                <w:color w:val="544D55"/>
                <w:sz w:val="16"/>
                <w:szCs w:val="16"/>
              </w:rPr>
              <w:t xml:space="preserve">Pharmacy prescriptions (Scripts Rx)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the number of prescriptions filled.</w:t>
            </w:r>
          </w:p>
        </w:tc>
      </w:tr>
      <w:tr w:rsidR="00F41E30" w14:paraId="76F2502C"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275B144F"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DC31954" w14:textId="43F40B3B" w:rsidR="27DAC191" w:rsidRDefault="27DAC191" w:rsidP="27DAC191">
            <w:pPr>
              <w:spacing w:before="0" w:after="0"/>
            </w:pPr>
            <w:r w:rsidRPr="27DAC191">
              <w:rPr>
                <w:rFonts w:ascii="Arial" w:eastAsia="Arial" w:hAnsi="Arial" w:cs="Arial"/>
                <w:color w:val="544D55"/>
                <w:sz w:val="16"/>
                <w:szCs w:val="16"/>
              </w:rPr>
              <w:t>Scripts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90ED5B6" w14:textId="38171C84" w:rsidR="27DAC191" w:rsidRDefault="27DAC191" w:rsidP="27DAC191">
            <w:pPr>
              <w:spacing w:before="0" w:after="0"/>
              <w:jc w:val="center"/>
            </w:pPr>
            <w:r w:rsidRPr="27DAC191">
              <w:rPr>
                <w:rFonts w:ascii="Arial" w:eastAsia="Arial" w:hAnsi="Arial" w:cs="Arial"/>
                <w:color w:val="544D55"/>
                <w:sz w:val="16"/>
                <w:szCs w:val="16"/>
              </w:rPr>
              <w:t>RXST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7F11ED5" w14:textId="5BED82B4" w:rsidR="27DAC191" w:rsidRDefault="27DAC191" w:rsidP="27DAC191">
            <w:pPr>
              <w:spacing w:before="0" w:after="0"/>
            </w:pPr>
            <w:r w:rsidRPr="27DAC191">
              <w:rPr>
                <w:rFonts w:ascii="Arial" w:eastAsia="Arial" w:hAnsi="Arial" w:cs="Arial"/>
                <w:color w:val="544D55"/>
                <w:sz w:val="16"/>
                <w:szCs w:val="16"/>
              </w:rPr>
              <w:t xml:space="preserve">Scripts per 1000 </w:t>
            </w:r>
            <w:proofErr w:type="gramStart"/>
            <w:r w:rsidRPr="27DAC191">
              <w:rPr>
                <w:rFonts w:ascii="Arial" w:eastAsia="Arial" w:hAnsi="Arial" w:cs="Arial"/>
                <w:color w:val="544D55"/>
                <w:sz w:val="16"/>
                <w:szCs w:val="16"/>
              </w:rPr>
              <w:t>is</w:t>
            </w:r>
            <w:proofErr w:type="gramEnd"/>
            <w:r w:rsidRPr="27DAC191">
              <w:rPr>
                <w:rFonts w:ascii="Arial" w:eastAsia="Arial" w:hAnsi="Arial" w:cs="Arial"/>
                <w:color w:val="544D55"/>
                <w:sz w:val="16"/>
                <w:szCs w:val="16"/>
              </w:rPr>
              <w:t xml:space="preserve"> calculated using Scripts Rx and Average Members. (RXS/AM*1000)</w:t>
            </w:r>
          </w:p>
        </w:tc>
      </w:tr>
      <w:tr w:rsidR="00F41E30" w14:paraId="12C8F4F8"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2F0C7EE0"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07CB0ED7" w14:textId="6EB60284" w:rsidR="27DAC191" w:rsidRDefault="27DAC191" w:rsidP="27DAC191">
            <w:pPr>
              <w:spacing w:before="0" w:after="0"/>
            </w:pP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2F97058" w14:textId="15235F05" w:rsidR="27DAC191" w:rsidRDefault="27DAC191" w:rsidP="27DAC191">
            <w:pPr>
              <w:spacing w:before="0" w:after="0"/>
              <w:jc w:val="center"/>
            </w:pPr>
            <w:r w:rsidRPr="27DAC191">
              <w:rPr>
                <w:rFonts w:ascii="Arial" w:eastAsia="Arial" w:hAnsi="Arial" w:cs="Arial"/>
                <w:color w:val="544D55"/>
                <w:sz w:val="16"/>
                <w:szCs w:val="16"/>
              </w:rPr>
              <w:t>RXDS</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6B50479" w14:textId="014AE7FA" w:rsidR="27DAC191" w:rsidRDefault="27DAC191" w:rsidP="27DAC191">
            <w:pPr>
              <w:spacing w:before="0" w:after="0"/>
            </w:pPr>
            <w:r w:rsidRPr="27DAC191">
              <w:rPr>
                <w:rFonts w:ascii="Arial" w:eastAsia="Arial" w:hAnsi="Arial" w:cs="Arial"/>
                <w:color w:val="544D55"/>
                <w:sz w:val="16"/>
                <w:szCs w:val="16"/>
              </w:rPr>
              <w:t xml:space="preserve">Rx </w:t>
            </w: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 is the total </w:t>
            </w: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 for prescriptions filled. Days-supply represents the number of days of drug therapy covered by a prescription. </w:t>
            </w:r>
          </w:p>
        </w:tc>
      </w:tr>
      <w:tr w:rsidR="00F41E30" w14:paraId="32ABB0AD"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57D417CA"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DBA7638" w14:textId="22CCB43D" w:rsidR="27DAC191" w:rsidRDefault="27DAC191" w:rsidP="27DAC191">
            <w:pPr>
              <w:spacing w:before="0" w:after="0"/>
            </w:pP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 PMPM</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4BD0F68" w14:textId="60706D8E" w:rsidR="27DAC191" w:rsidRDefault="27DAC191" w:rsidP="27DAC191">
            <w:pPr>
              <w:spacing w:before="0" w:after="0"/>
              <w:jc w:val="center"/>
            </w:pPr>
            <w:r w:rsidRPr="27DAC191">
              <w:rPr>
                <w:rFonts w:ascii="Arial" w:eastAsia="Arial" w:hAnsi="Arial" w:cs="Arial"/>
                <w:color w:val="544D55"/>
                <w:sz w:val="16"/>
                <w:szCs w:val="16"/>
              </w:rPr>
              <w:t>RXDPM</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71DA56E" w14:textId="380B4281" w:rsidR="27DAC191" w:rsidRDefault="27DAC191" w:rsidP="27DAC191">
            <w:pPr>
              <w:spacing w:before="0" w:after="0"/>
            </w:pPr>
            <w:r w:rsidRPr="27DAC191">
              <w:rPr>
                <w:rFonts w:ascii="Arial" w:eastAsia="Arial" w:hAnsi="Arial" w:cs="Arial"/>
                <w:color w:val="544D55"/>
                <w:sz w:val="16"/>
                <w:szCs w:val="16"/>
              </w:rPr>
              <w:t xml:space="preserve">Rx </w:t>
            </w: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 PMPM is calculated by dividing Rx </w:t>
            </w:r>
            <w:proofErr w:type="spellStart"/>
            <w:r w:rsidRPr="27DAC191">
              <w:rPr>
                <w:rFonts w:ascii="Arial" w:eastAsia="Arial" w:hAnsi="Arial" w:cs="Arial"/>
                <w:color w:val="544D55"/>
                <w:sz w:val="16"/>
                <w:szCs w:val="16"/>
              </w:rPr>
              <w:t>Days</w:t>
            </w:r>
            <w:proofErr w:type="spellEnd"/>
            <w:r w:rsidRPr="27DAC191">
              <w:rPr>
                <w:rFonts w:ascii="Arial" w:eastAsia="Arial" w:hAnsi="Arial" w:cs="Arial"/>
                <w:color w:val="544D55"/>
                <w:sz w:val="16"/>
                <w:szCs w:val="16"/>
              </w:rPr>
              <w:t xml:space="preserve"> Supply by member months (RXDS/MM).</w:t>
            </w:r>
          </w:p>
        </w:tc>
      </w:tr>
      <w:tr w:rsidR="00F41E30" w14:paraId="7EF3C733"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28B68C3D"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0ECFC4F3" w14:textId="07580369"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6B8D056" w14:textId="13254A38" w:rsidR="27DAC191" w:rsidRDefault="27DAC191" w:rsidP="27DAC191">
            <w:pPr>
              <w:spacing w:before="0" w:after="0"/>
              <w:jc w:val="center"/>
            </w:pPr>
            <w:r w:rsidRPr="27DAC191">
              <w:rPr>
                <w:rFonts w:ascii="Arial" w:eastAsia="Arial" w:hAnsi="Arial" w:cs="Arial"/>
                <w:color w:val="544D55"/>
                <w:sz w:val="16"/>
                <w:szCs w:val="16"/>
              </w:rPr>
              <w:t>RXPC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C880C6F" w14:textId="739E3714" w:rsidR="27DAC191" w:rsidRDefault="27DAC191" w:rsidP="27DAC191">
            <w:pPr>
              <w:spacing w:before="0" w:after="0"/>
            </w:pPr>
            <w:r w:rsidRPr="27DAC191">
              <w:rPr>
                <w:rFonts w:ascii="Arial" w:eastAsia="Arial" w:hAnsi="Arial" w:cs="Arial"/>
                <w:color w:val="544D55"/>
                <w:sz w:val="16"/>
                <w:szCs w:val="16"/>
              </w:rPr>
              <w:t>Rx Patient Count is the unique count of members who had a prescription filled. This field is rounded to the nearest 10, and all metrics calculated using this field are based on the rounded value.</w:t>
            </w:r>
          </w:p>
        </w:tc>
      </w:tr>
      <w:tr w:rsidR="00F41E30" w14:paraId="5182DF7D"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69378135"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97EB56D" w14:textId="00DE1045"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DDEA4EA" w14:textId="38855EC2" w:rsidR="27DAC191" w:rsidRDefault="27DAC191" w:rsidP="27DAC191">
            <w:pPr>
              <w:spacing w:before="0" w:after="0"/>
              <w:jc w:val="center"/>
            </w:pPr>
            <w:r w:rsidRPr="27DAC191">
              <w:rPr>
                <w:rFonts w:ascii="Arial" w:eastAsia="Arial" w:hAnsi="Arial" w:cs="Arial"/>
                <w:color w:val="544D55"/>
                <w:sz w:val="16"/>
                <w:szCs w:val="16"/>
              </w:rPr>
              <w:t>RXPT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CDACAF0" w14:textId="5F51E3A7" w:rsidR="27DAC191" w:rsidRDefault="27DAC191" w:rsidP="27DAC191">
            <w:pPr>
              <w:spacing w:before="0" w:after="0"/>
            </w:pPr>
            <w:r w:rsidRPr="27DAC191">
              <w:rPr>
                <w:rFonts w:ascii="Arial" w:eastAsia="Arial" w:hAnsi="Arial" w:cs="Arial"/>
                <w:color w:val="544D55"/>
                <w:sz w:val="16"/>
                <w:szCs w:val="16"/>
              </w:rPr>
              <w:t>Rx Patients per 1000 is calculated using Rx Patient Count and Unique Member Count. (RXPC/UMC*1000)</w:t>
            </w:r>
          </w:p>
        </w:tc>
      </w:tr>
      <w:tr w:rsidR="00F41E30" w14:paraId="2E6B4C02" w14:textId="77777777" w:rsidTr="003E1A77">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7BF4A039"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4C7740E6" w14:textId="7EC8E8CC"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272A011" w14:textId="02CC7B98" w:rsidR="27DAC191" w:rsidRDefault="27DAC191" w:rsidP="27DAC191">
            <w:pPr>
              <w:spacing w:before="0" w:after="0"/>
              <w:jc w:val="center"/>
            </w:pPr>
            <w:r w:rsidRPr="27DAC191">
              <w:rPr>
                <w:rFonts w:ascii="Arial" w:eastAsia="Arial" w:hAnsi="Arial" w:cs="Arial"/>
                <w:color w:val="544D55"/>
                <w:sz w:val="16"/>
                <w:szCs w:val="16"/>
              </w:rPr>
              <w:t>RXPP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68FF6734" w14:textId="7AE0D704" w:rsidR="27DAC191" w:rsidRDefault="27DAC191" w:rsidP="27DAC191">
            <w:pPr>
              <w:spacing w:before="0" w:after="0"/>
            </w:pPr>
            <w:r w:rsidRPr="27DAC191">
              <w:rPr>
                <w:rFonts w:ascii="Arial" w:eastAsia="Arial" w:hAnsi="Arial" w:cs="Arial"/>
                <w:color w:val="544D55"/>
                <w:sz w:val="16"/>
                <w:szCs w:val="16"/>
              </w:rPr>
              <w:t>Pharmacy Percent of Patients is the percent of total patient count. [RXPC/</w:t>
            </w:r>
            <w:proofErr w:type="gramStart"/>
            <w:r w:rsidRPr="27DAC191">
              <w:rPr>
                <w:rFonts w:ascii="Arial" w:eastAsia="Arial" w:hAnsi="Arial" w:cs="Arial"/>
                <w:color w:val="544D55"/>
                <w:sz w:val="16"/>
                <w:szCs w:val="16"/>
              </w:rPr>
              <w:t>RXPC(</w:t>
            </w:r>
            <w:proofErr w:type="gramEnd"/>
            <w:r w:rsidRPr="27DAC191">
              <w:rPr>
                <w:rFonts w:ascii="Arial" w:eastAsia="Arial" w:hAnsi="Arial" w:cs="Arial"/>
                <w:color w:val="544D55"/>
                <w:sz w:val="16"/>
                <w:szCs w:val="16"/>
              </w:rPr>
              <w:t>Grand Total)]</w:t>
            </w:r>
          </w:p>
        </w:tc>
      </w:tr>
      <w:tr w:rsidR="00F41E30" w14:paraId="320C289C" w14:textId="77777777" w:rsidTr="003E1A77">
        <w:trPr>
          <w:cantSplit/>
          <w:trHeight w:val="576"/>
        </w:trPr>
        <w:tc>
          <w:tcPr>
            <w:tcW w:w="1215" w:type="dxa"/>
            <w:vMerge w:val="restar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right w:w="15" w:type="dxa"/>
            </w:tcMar>
            <w:vAlign w:val="center"/>
          </w:tcPr>
          <w:p w14:paraId="21FCC226" w14:textId="51DD9831" w:rsidR="27DAC191" w:rsidRDefault="27DAC191" w:rsidP="27DAC191">
            <w:pPr>
              <w:spacing w:before="0" w:after="0"/>
              <w:jc w:val="center"/>
            </w:pPr>
            <w:r w:rsidRPr="27DAC191">
              <w:rPr>
                <w:rFonts w:ascii="Arial" w:eastAsia="Arial" w:hAnsi="Arial" w:cs="Arial"/>
                <w:b/>
                <w:bCs/>
                <w:color w:val="544D55"/>
                <w:sz w:val="16"/>
                <w:szCs w:val="16"/>
              </w:rPr>
              <w:t>Vaccination/</w:t>
            </w:r>
            <w:r>
              <w:br/>
            </w:r>
            <w:r w:rsidRPr="27DAC191">
              <w:rPr>
                <w:rFonts w:ascii="Arial" w:eastAsia="Arial" w:hAnsi="Arial" w:cs="Arial"/>
                <w:b/>
                <w:bCs/>
                <w:color w:val="544D55"/>
                <w:sz w:val="16"/>
                <w:szCs w:val="16"/>
              </w:rPr>
              <w:t xml:space="preserve"> Immunization</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B2C933F" w14:textId="5532B7A1" w:rsidR="27DAC191" w:rsidRDefault="27DAC191" w:rsidP="27DAC191">
            <w:pPr>
              <w:spacing w:before="0" w:after="0"/>
            </w:pPr>
            <w:r w:rsidRPr="27DAC191">
              <w:rPr>
                <w:rFonts w:ascii="Arial" w:eastAsia="Arial" w:hAnsi="Arial" w:cs="Arial"/>
                <w:color w:val="544D55"/>
                <w:sz w:val="16"/>
                <w:szCs w:val="16"/>
              </w:rPr>
              <w:t>Claims</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46D54C6" w14:textId="1E67A6B9" w:rsidR="27DAC191" w:rsidRDefault="27DAC191" w:rsidP="27DAC191">
            <w:pPr>
              <w:spacing w:before="0" w:after="0"/>
              <w:jc w:val="center"/>
            </w:pPr>
            <w:r w:rsidRPr="27DAC191">
              <w:rPr>
                <w:rFonts w:ascii="Arial" w:eastAsia="Arial" w:hAnsi="Arial" w:cs="Arial"/>
                <w:color w:val="544D55"/>
                <w:sz w:val="16"/>
                <w:szCs w:val="16"/>
              </w:rPr>
              <w:t>VC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110A6CDA" w14:textId="0AE3B89B" w:rsidR="27DAC191" w:rsidRDefault="27DAC191" w:rsidP="27DAC191">
            <w:pPr>
              <w:spacing w:before="0" w:after="0"/>
            </w:pPr>
            <w:r w:rsidRPr="27DAC191">
              <w:rPr>
                <w:rFonts w:ascii="Arial" w:eastAsia="Arial" w:hAnsi="Arial" w:cs="Arial"/>
                <w:color w:val="544D55"/>
                <w:sz w:val="16"/>
                <w:szCs w:val="16"/>
              </w:rPr>
              <w:t>Vaccination/Immunization Claims is a count of claims for vaccination or immunization based on procedure codes or therapeutic class.</w:t>
            </w:r>
          </w:p>
        </w:tc>
      </w:tr>
      <w:tr w:rsidR="00F41E30" w14:paraId="624C21FC"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655F73A5"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22E5EC12" w14:textId="7497729A" w:rsidR="27DAC191" w:rsidRDefault="27DAC191" w:rsidP="27DAC191">
            <w:pPr>
              <w:spacing w:before="0" w:after="0"/>
            </w:pPr>
            <w:r w:rsidRPr="27DAC191">
              <w:rPr>
                <w:rFonts w:ascii="Arial" w:eastAsia="Arial" w:hAnsi="Arial" w:cs="Arial"/>
                <w:color w:val="544D55"/>
                <w:sz w:val="16"/>
                <w:szCs w:val="16"/>
              </w:rPr>
              <w:t>Claims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33299D80" w14:textId="6F4C0485" w:rsidR="27DAC191" w:rsidRDefault="27DAC191" w:rsidP="27DAC191">
            <w:pPr>
              <w:spacing w:before="0" w:after="0"/>
              <w:jc w:val="center"/>
            </w:pPr>
            <w:r w:rsidRPr="27DAC191">
              <w:rPr>
                <w:rFonts w:ascii="Arial" w:eastAsia="Arial" w:hAnsi="Arial" w:cs="Arial"/>
                <w:color w:val="544D55"/>
                <w:sz w:val="16"/>
                <w:szCs w:val="16"/>
              </w:rPr>
              <w:t>VCT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C57ECEF" w14:textId="0CD485C5" w:rsidR="27DAC191" w:rsidRDefault="27DAC191" w:rsidP="27DAC191">
            <w:pPr>
              <w:spacing w:before="0" w:after="0"/>
            </w:pPr>
            <w:r w:rsidRPr="27DAC191">
              <w:rPr>
                <w:rFonts w:ascii="Arial" w:eastAsia="Arial" w:hAnsi="Arial" w:cs="Arial"/>
                <w:color w:val="544D55"/>
                <w:sz w:val="16"/>
                <w:szCs w:val="16"/>
              </w:rPr>
              <w:t>Vaccination/Immunization Claims per 1000. (VC/AM*1000)</w:t>
            </w:r>
          </w:p>
        </w:tc>
      </w:tr>
      <w:tr w:rsidR="00F41E30" w14:paraId="236DDDE7"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7991545A"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84FFEF4" w14:textId="562D5561" w:rsidR="27DAC191" w:rsidRDefault="27DAC191" w:rsidP="27DAC191">
            <w:pPr>
              <w:spacing w:before="0" w:after="0"/>
            </w:pPr>
            <w:r w:rsidRPr="27DAC191">
              <w:rPr>
                <w:rFonts w:ascii="Arial" w:eastAsia="Arial" w:hAnsi="Arial" w:cs="Arial"/>
                <w:color w:val="544D55"/>
                <w:sz w:val="16"/>
                <w:szCs w:val="16"/>
              </w:rPr>
              <w:t>Patient Count</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7A12C490" w14:textId="662D269E" w:rsidR="27DAC191" w:rsidRDefault="27DAC191" w:rsidP="27DAC191">
            <w:pPr>
              <w:spacing w:before="0" w:after="0"/>
              <w:jc w:val="center"/>
            </w:pPr>
            <w:r w:rsidRPr="27DAC191">
              <w:rPr>
                <w:rFonts w:ascii="Arial" w:eastAsia="Arial" w:hAnsi="Arial" w:cs="Arial"/>
                <w:color w:val="544D55"/>
                <w:sz w:val="16"/>
                <w:szCs w:val="16"/>
              </w:rPr>
              <w:t>VPC</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6BB2ED8" w14:textId="664E8BB3" w:rsidR="27DAC191" w:rsidRDefault="27DAC191" w:rsidP="27DAC191">
            <w:pPr>
              <w:spacing w:before="0" w:after="0"/>
            </w:pPr>
            <w:r w:rsidRPr="27DAC191">
              <w:rPr>
                <w:rFonts w:ascii="Arial" w:eastAsia="Arial" w:hAnsi="Arial" w:cs="Arial"/>
                <w:color w:val="544D55"/>
                <w:sz w:val="16"/>
                <w:szCs w:val="16"/>
              </w:rPr>
              <w:t>Vaccination/Immunization Patient Count is the unique count of members who received a vaccination or an immunization. This field is rounded to the nearest 10, and all metrics calculated using this field are based on the rounded value.</w:t>
            </w:r>
          </w:p>
        </w:tc>
      </w:tr>
      <w:tr w:rsidR="00F41E30" w14:paraId="68BE3053" w14:textId="77777777" w:rsidTr="003E1A77">
        <w:trPr>
          <w:cantSplit/>
          <w:trHeight w:val="576"/>
        </w:trPr>
        <w:tc>
          <w:tcPr>
            <w:tcW w:w="1215" w:type="dxa"/>
            <w:vMerge/>
            <w:tcBorders>
              <w:left w:val="single" w:sz="0" w:space="0" w:color="808080" w:themeColor="background1" w:themeShade="80"/>
              <w:right w:val="single" w:sz="0" w:space="0" w:color="808080" w:themeColor="background1" w:themeShade="80"/>
            </w:tcBorders>
            <w:vAlign w:val="center"/>
          </w:tcPr>
          <w:p w14:paraId="59458206"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961C12E" w14:textId="2534E161" w:rsidR="27DAC191" w:rsidRDefault="27DAC191" w:rsidP="27DAC191">
            <w:pPr>
              <w:spacing w:before="0" w:after="0"/>
            </w:pPr>
            <w:r w:rsidRPr="27DAC191">
              <w:rPr>
                <w:rFonts w:ascii="Arial" w:eastAsia="Arial" w:hAnsi="Arial" w:cs="Arial"/>
                <w:color w:val="544D55"/>
                <w:sz w:val="16"/>
                <w:szCs w:val="16"/>
              </w:rPr>
              <w:t>Patients per 1000</w:t>
            </w:r>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5D834AA5" w14:textId="6FFFE4E2" w:rsidR="27DAC191" w:rsidRDefault="27DAC191" w:rsidP="27DAC191">
            <w:pPr>
              <w:spacing w:before="0" w:after="0"/>
              <w:jc w:val="center"/>
            </w:pPr>
            <w:r w:rsidRPr="27DAC191">
              <w:rPr>
                <w:rFonts w:ascii="Arial" w:eastAsia="Arial" w:hAnsi="Arial" w:cs="Arial"/>
                <w:color w:val="544D55"/>
                <w:sz w:val="16"/>
                <w:szCs w:val="16"/>
              </w:rPr>
              <w:t>VPT</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05B12C14" w14:textId="2A3848A8" w:rsidR="27DAC191" w:rsidRDefault="27DAC191" w:rsidP="27DAC191">
            <w:pPr>
              <w:spacing w:before="0" w:after="0"/>
            </w:pPr>
            <w:r w:rsidRPr="27DAC191">
              <w:rPr>
                <w:rFonts w:ascii="Arial" w:eastAsia="Arial" w:hAnsi="Arial" w:cs="Arial"/>
                <w:color w:val="544D55"/>
                <w:sz w:val="16"/>
                <w:szCs w:val="16"/>
              </w:rPr>
              <w:t>Vaccination/Immunization Patients per 1000 is calculated using Vaccination/Immunization Patient Count and Unique Member Count. (VPC/UMC*1000)</w:t>
            </w:r>
          </w:p>
        </w:tc>
      </w:tr>
      <w:tr w:rsidR="00F41E30" w14:paraId="0C672F90" w14:textId="77777777" w:rsidTr="003E1A77">
        <w:trPr>
          <w:cantSplit/>
          <w:trHeight w:val="576"/>
        </w:trPr>
        <w:tc>
          <w:tcPr>
            <w:tcW w:w="121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63724D85" w14:textId="77777777" w:rsidR="001C5D75" w:rsidRDefault="001C5D75"/>
        </w:tc>
        <w:tc>
          <w:tcPr>
            <w:tcW w:w="90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D5D9E2"/>
            <w:tcMar>
              <w:top w:w="15" w:type="dxa"/>
              <w:left w:w="15" w:type="dxa"/>
              <w:right w:w="15" w:type="dxa"/>
            </w:tcMar>
            <w:vAlign w:val="center"/>
          </w:tcPr>
          <w:p w14:paraId="5A85512A" w14:textId="6D791424" w:rsidR="27DAC191" w:rsidRDefault="27DAC191" w:rsidP="27DAC191">
            <w:pPr>
              <w:spacing w:before="0" w:after="0"/>
            </w:pPr>
            <w:r w:rsidRPr="27DAC191">
              <w:rPr>
                <w:rFonts w:ascii="Arial" w:eastAsia="Arial" w:hAnsi="Arial" w:cs="Arial"/>
                <w:color w:val="544D55"/>
                <w:sz w:val="16"/>
                <w:szCs w:val="16"/>
              </w:rPr>
              <w:t xml:space="preserve">% of </w:t>
            </w:r>
            <w:proofErr w:type="gramStart"/>
            <w:r w:rsidRPr="27DAC191">
              <w:rPr>
                <w:rFonts w:ascii="Arial" w:eastAsia="Arial" w:hAnsi="Arial" w:cs="Arial"/>
                <w:color w:val="544D55"/>
                <w:sz w:val="16"/>
                <w:szCs w:val="16"/>
              </w:rPr>
              <w:t>Patients</w:t>
            </w:r>
            <w:proofErr w:type="gramEnd"/>
          </w:p>
        </w:tc>
        <w:tc>
          <w:tcPr>
            <w:tcW w:w="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2AA0D142" w14:textId="5967ADF6" w:rsidR="27DAC191" w:rsidRDefault="27DAC191" w:rsidP="27DAC191">
            <w:pPr>
              <w:spacing w:before="0" w:after="0"/>
              <w:jc w:val="center"/>
            </w:pPr>
            <w:r w:rsidRPr="27DAC191">
              <w:rPr>
                <w:rFonts w:ascii="Arial" w:eastAsia="Arial" w:hAnsi="Arial" w:cs="Arial"/>
                <w:color w:val="544D55"/>
                <w:sz w:val="16"/>
                <w:szCs w:val="16"/>
              </w:rPr>
              <w:t>VPP</w:t>
            </w:r>
          </w:p>
        </w:tc>
        <w:tc>
          <w:tcPr>
            <w:tcW w:w="6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14:paraId="4E713FE6" w14:textId="692CEBA6" w:rsidR="27DAC191" w:rsidRDefault="27DAC191" w:rsidP="27DAC191">
            <w:pPr>
              <w:spacing w:before="0" w:after="0"/>
            </w:pPr>
            <w:r w:rsidRPr="27DAC191">
              <w:rPr>
                <w:rFonts w:ascii="Arial" w:eastAsia="Arial" w:hAnsi="Arial" w:cs="Arial"/>
                <w:color w:val="544D55"/>
                <w:sz w:val="16"/>
                <w:szCs w:val="16"/>
              </w:rPr>
              <w:t>Vaccination/Immunization Percent of Patients is the percent of total patient count. [VPC/</w:t>
            </w:r>
            <w:proofErr w:type="gramStart"/>
            <w:r w:rsidRPr="27DAC191">
              <w:rPr>
                <w:rFonts w:ascii="Arial" w:eastAsia="Arial" w:hAnsi="Arial" w:cs="Arial"/>
                <w:color w:val="544D55"/>
                <w:sz w:val="16"/>
                <w:szCs w:val="16"/>
              </w:rPr>
              <w:t>VPC(</w:t>
            </w:r>
            <w:proofErr w:type="gramEnd"/>
            <w:r w:rsidRPr="27DAC191">
              <w:rPr>
                <w:rFonts w:ascii="Arial" w:eastAsia="Arial" w:hAnsi="Arial" w:cs="Arial"/>
                <w:color w:val="544D55"/>
                <w:sz w:val="16"/>
                <w:szCs w:val="16"/>
              </w:rPr>
              <w:t>Grand Total)]</w:t>
            </w:r>
          </w:p>
        </w:tc>
      </w:tr>
    </w:tbl>
    <w:p w14:paraId="54149809" w14:textId="2047EAB3" w:rsidR="00DC554D" w:rsidRPr="00D533FB" w:rsidRDefault="00DC554D" w:rsidP="5B17E4AD">
      <w:pPr>
        <w:spacing w:before="0" w:after="0"/>
        <w:rPr>
          <w:rFonts w:ascii="Arial" w:eastAsia="Arial" w:hAnsi="Arial" w:cs="Arial"/>
        </w:rPr>
        <w:sectPr w:rsidR="00DC554D" w:rsidRPr="00D533FB">
          <w:headerReference w:type="default" r:id="rId12"/>
          <w:footerReference w:type="default" r:id="rId13"/>
          <w:pgSz w:w="12240" w:h="15840"/>
          <w:pgMar w:top="1440" w:right="1440" w:bottom="1440" w:left="1440" w:header="720" w:footer="720" w:gutter="0"/>
          <w:cols w:space="720"/>
          <w:docGrid w:linePitch="360"/>
        </w:sectPr>
      </w:pPr>
    </w:p>
    <w:p w14:paraId="35196CCC" w14:textId="77777777" w:rsidR="00724CDA" w:rsidRDefault="00724CDA" w:rsidP="38D5A752">
      <w:pPr>
        <w:rPr>
          <w:rFonts w:ascii="Arial" w:eastAsia="Arial" w:hAnsi="Arial" w:cs="Arial"/>
        </w:rPr>
        <w:sectPr w:rsidR="00724CDA" w:rsidSect="00724CDA">
          <w:type w:val="continuous"/>
          <w:pgSz w:w="12240" w:h="15840"/>
          <w:pgMar w:top="1440" w:right="1440" w:bottom="1440" w:left="1440" w:header="720" w:footer="720" w:gutter="0"/>
          <w:cols w:num="2" w:space="720"/>
          <w:docGrid w:linePitch="360"/>
        </w:sectPr>
      </w:pPr>
    </w:p>
    <w:p w14:paraId="5295CC60" w14:textId="6593E695" w:rsidR="00607BB6" w:rsidRDefault="00607BB6" w:rsidP="38D5A752">
      <w:pPr>
        <w:rPr>
          <w:rFonts w:ascii="Arial" w:eastAsia="Arial" w:hAnsi="Arial" w:cs="Arial"/>
        </w:rPr>
        <w:sectPr w:rsidR="00607BB6" w:rsidSect="009C3544">
          <w:type w:val="continuous"/>
          <w:pgSz w:w="12240" w:h="15840"/>
          <w:pgMar w:top="720" w:right="720" w:bottom="720" w:left="720" w:header="720" w:footer="720" w:gutter="0"/>
          <w:cols w:space="720"/>
          <w:docGrid w:linePitch="360"/>
        </w:sectPr>
      </w:pPr>
    </w:p>
    <w:p w14:paraId="0695B226" w14:textId="42BAB0CA" w:rsidR="79A102A5" w:rsidRPr="00860003" w:rsidRDefault="79A102A5" w:rsidP="00980BAF"/>
    <w:sectPr w:rsidR="79A102A5" w:rsidRPr="00860003" w:rsidSect="00724C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E32B" w14:textId="77777777" w:rsidR="00FB43B1" w:rsidRDefault="00FB43B1">
      <w:pPr>
        <w:spacing w:after="0" w:line="240" w:lineRule="auto"/>
      </w:pPr>
      <w:r>
        <w:separator/>
      </w:r>
    </w:p>
  </w:endnote>
  <w:endnote w:type="continuationSeparator" w:id="0">
    <w:p w14:paraId="27C907EF" w14:textId="77777777" w:rsidR="00FB43B1" w:rsidRDefault="00FB43B1">
      <w:pPr>
        <w:spacing w:after="0" w:line="240" w:lineRule="auto"/>
      </w:pPr>
      <w:r>
        <w:continuationSeparator/>
      </w:r>
    </w:p>
  </w:endnote>
  <w:endnote w:type="continuationNotice" w:id="1">
    <w:p w14:paraId="134E40BD" w14:textId="77777777" w:rsidR="00FB43B1" w:rsidRDefault="00FB4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55559"/>
      <w:docPartObj>
        <w:docPartGallery w:val="Page Numbers (Bottom of Page)"/>
        <w:docPartUnique/>
      </w:docPartObj>
    </w:sdtPr>
    <w:sdtEndPr>
      <w:rPr>
        <w:rFonts w:ascii="Arial" w:hAnsi="Arial" w:cs="Arial"/>
        <w:noProof/>
        <w:sz w:val="18"/>
        <w:szCs w:val="18"/>
      </w:rPr>
    </w:sdtEndPr>
    <w:sdtContent>
      <w:p w14:paraId="26B88062" w14:textId="31AEAE9B" w:rsidR="00932E91" w:rsidRDefault="00932E91" w:rsidP="00932E91">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799D5BC" w14:textId="3A98710A" w:rsidR="79A102A5" w:rsidRPr="00932E91" w:rsidRDefault="00932E91" w:rsidP="79A102A5">
    <w:pPr>
      <w:pStyle w:val="Footer"/>
      <w:rPr>
        <w:rFonts w:ascii="Arial" w:hAnsi="Arial" w:cs="Arial"/>
        <w:sz w:val="18"/>
        <w:szCs w:val="18"/>
      </w:rPr>
    </w:pPr>
    <w:r w:rsidRPr="00932E91">
      <w:rPr>
        <w:rFonts w:ascii="Arial" w:hAnsi="Arial" w:cs="Arial"/>
        <w:sz w:val="18"/>
        <w:szCs w:val="18"/>
      </w:rPr>
      <w:t xml:space="preserve">Covered California Utilization Report Methodology – </w:t>
    </w:r>
    <w:r w:rsidR="00B109C7">
      <w:rPr>
        <w:rFonts w:ascii="Arial" w:hAnsi="Arial" w:cs="Arial"/>
        <w:sz w:val="18"/>
        <w:szCs w:val="18"/>
      </w:rPr>
      <w:t>August</w:t>
    </w:r>
    <w:r w:rsidRPr="00932E91">
      <w:rPr>
        <w:rFonts w:ascii="Arial" w:hAnsi="Arial" w:cs="Arial"/>
        <w:sz w:val="18"/>
        <w:szCs w:val="18"/>
      </w:rPr>
      <w:t xml:space="preserve"> 202</w:t>
    </w:r>
    <w:r w:rsidR="00B109C7">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DDB9" w14:textId="77777777" w:rsidR="00FB43B1" w:rsidRDefault="00FB43B1">
      <w:pPr>
        <w:spacing w:after="0" w:line="240" w:lineRule="auto"/>
      </w:pPr>
      <w:r>
        <w:separator/>
      </w:r>
    </w:p>
  </w:footnote>
  <w:footnote w:type="continuationSeparator" w:id="0">
    <w:p w14:paraId="0E862EC3" w14:textId="77777777" w:rsidR="00FB43B1" w:rsidRDefault="00FB43B1">
      <w:pPr>
        <w:spacing w:after="0" w:line="240" w:lineRule="auto"/>
      </w:pPr>
      <w:r>
        <w:continuationSeparator/>
      </w:r>
    </w:p>
  </w:footnote>
  <w:footnote w:type="continuationNotice" w:id="1">
    <w:p w14:paraId="7E8BADFD" w14:textId="77777777" w:rsidR="00FB43B1" w:rsidRDefault="00FB43B1">
      <w:pPr>
        <w:spacing w:after="0" w:line="240" w:lineRule="auto"/>
      </w:pPr>
    </w:p>
  </w:footnote>
  <w:footnote w:id="2">
    <w:p w14:paraId="09059ECD" w14:textId="048455F1" w:rsidR="79A102A5" w:rsidRPr="00AD750A" w:rsidRDefault="79A102A5" w:rsidP="79A102A5">
      <w:pPr>
        <w:rPr>
          <w:rStyle w:val="FootnoteReference"/>
          <w:rFonts w:ascii="Arial" w:eastAsia="Arial" w:hAnsi="Arial" w:cs="Arial"/>
        </w:rPr>
      </w:pPr>
      <w:r w:rsidRPr="00AD750A">
        <w:rPr>
          <w:rStyle w:val="FootnoteReference"/>
          <w:rFonts w:ascii="Arial" w:hAnsi="Arial" w:cs="Arial"/>
        </w:rPr>
        <w:footnoteRef/>
      </w:r>
      <w:r w:rsidRPr="00AD750A">
        <w:rPr>
          <w:rFonts w:ascii="Arial" w:hAnsi="Arial" w:cs="Arial"/>
        </w:rPr>
        <w:t xml:space="preserve"> </w:t>
      </w:r>
      <w:r w:rsidR="0066116C" w:rsidRPr="00AD750A">
        <w:rPr>
          <w:rFonts w:ascii="Arial" w:eastAsia="Arial" w:hAnsi="Arial" w:cs="Arial"/>
        </w:rPr>
        <w:t>M</w:t>
      </w:r>
      <w:r w:rsidR="001313AD" w:rsidRPr="00AD750A">
        <w:rPr>
          <w:rFonts w:ascii="Arial" w:eastAsia="Arial" w:hAnsi="Arial" w:cs="Arial"/>
        </w:rPr>
        <w:t>easure definitions, continuous enrollment criteria, or other factors may contribute to variances between the</w:t>
      </w:r>
      <w:r w:rsidR="00E5510B" w:rsidRPr="00AD750A">
        <w:rPr>
          <w:rFonts w:ascii="Arial" w:eastAsia="Arial" w:hAnsi="Arial" w:cs="Arial"/>
        </w:rPr>
        <w:t xml:space="preserve"> Utilization Report and the</w:t>
      </w:r>
      <w:r w:rsidR="001313AD" w:rsidRPr="00AD750A">
        <w:rPr>
          <w:rFonts w:ascii="Arial" w:eastAsia="Arial" w:hAnsi="Arial" w:cs="Arial"/>
        </w:rPr>
        <w:t xml:space="preserve"> </w:t>
      </w:r>
      <w:r w:rsidR="00DE2E39" w:rsidRPr="00AD750A">
        <w:rPr>
          <w:rFonts w:ascii="Arial" w:eastAsia="Arial" w:hAnsi="Arial" w:cs="Arial"/>
        </w:rPr>
        <w:t>Plan Performance Report</w:t>
      </w:r>
      <w:r w:rsidR="00616BE1" w:rsidRPr="00AD750A">
        <w:rPr>
          <w:rFonts w:ascii="Arial" w:eastAsia="Arial" w:hAnsi="Arial" w:cs="Arial"/>
        </w:rPr>
        <w:t>.</w:t>
      </w:r>
    </w:p>
    <w:p w14:paraId="0D810D7F" w14:textId="3B54B187" w:rsidR="79A102A5" w:rsidRDefault="79A102A5" w:rsidP="79A102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A102A5" w14:paraId="4E546ECE" w14:textId="77777777" w:rsidTr="79A102A5">
      <w:trPr>
        <w:trHeight w:val="300"/>
      </w:trPr>
      <w:tc>
        <w:tcPr>
          <w:tcW w:w="3120" w:type="dxa"/>
        </w:tcPr>
        <w:p w14:paraId="5F36A35A" w14:textId="2A399477" w:rsidR="79A102A5" w:rsidRDefault="79A102A5" w:rsidP="79A102A5">
          <w:pPr>
            <w:pStyle w:val="Header"/>
            <w:ind w:left="-115"/>
          </w:pPr>
        </w:p>
      </w:tc>
      <w:tc>
        <w:tcPr>
          <w:tcW w:w="3120" w:type="dxa"/>
        </w:tcPr>
        <w:p w14:paraId="035EBD42" w14:textId="736704F3" w:rsidR="79A102A5" w:rsidRDefault="79A102A5" w:rsidP="79A102A5">
          <w:pPr>
            <w:pStyle w:val="Header"/>
            <w:jc w:val="center"/>
          </w:pPr>
        </w:p>
      </w:tc>
      <w:tc>
        <w:tcPr>
          <w:tcW w:w="3120" w:type="dxa"/>
        </w:tcPr>
        <w:p w14:paraId="7FF37948" w14:textId="7300B648" w:rsidR="79A102A5" w:rsidRDefault="79A102A5" w:rsidP="79A102A5">
          <w:pPr>
            <w:pStyle w:val="Header"/>
            <w:ind w:right="-115"/>
            <w:jc w:val="right"/>
          </w:pPr>
        </w:p>
      </w:tc>
    </w:tr>
  </w:tbl>
  <w:p w14:paraId="5677D461" w14:textId="397E26F6" w:rsidR="79A102A5" w:rsidRDefault="79A102A5" w:rsidP="79A102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EWDJnmM" int2:invalidationBookmarkName="" int2:hashCode="tH82PitDDAZH8U" int2:id="kzNJ5LK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675"/>
    <w:multiLevelType w:val="hybridMultilevel"/>
    <w:tmpl w:val="7762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62F00"/>
    <w:multiLevelType w:val="hybridMultilevel"/>
    <w:tmpl w:val="A0B0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4CD"/>
    <w:multiLevelType w:val="multilevel"/>
    <w:tmpl w:val="53C64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44842"/>
    <w:multiLevelType w:val="hybridMultilevel"/>
    <w:tmpl w:val="7E94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3B10AF"/>
    <w:multiLevelType w:val="hybridMultilevel"/>
    <w:tmpl w:val="62526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186121"/>
    <w:multiLevelType w:val="hybridMultilevel"/>
    <w:tmpl w:val="E3B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A3BBA"/>
    <w:multiLevelType w:val="multilevel"/>
    <w:tmpl w:val="3D80A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A091D"/>
    <w:multiLevelType w:val="hybridMultilevel"/>
    <w:tmpl w:val="8C9E2C7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EF442A"/>
    <w:multiLevelType w:val="hybridMultilevel"/>
    <w:tmpl w:val="94EA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DE09EB"/>
    <w:multiLevelType w:val="hybridMultilevel"/>
    <w:tmpl w:val="5CD0F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225319"/>
    <w:multiLevelType w:val="hybridMultilevel"/>
    <w:tmpl w:val="A27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DD00B7"/>
    <w:multiLevelType w:val="multilevel"/>
    <w:tmpl w:val="2908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17D19"/>
    <w:multiLevelType w:val="multilevel"/>
    <w:tmpl w:val="13FE5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985D10"/>
    <w:multiLevelType w:val="hybridMultilevel"/>
    <w:tmpl w:val="084A4C2A"/>
    <w:lvl w:ilvl="0" w:tplc="25E63732">
      <w:start w:val="1"/>
      <w:numFmt w:val="bullet"/>
      <w:pStyle w:val="ProcessBullet"/>
      <w:lvlText w:val=""/>
      <w:lvlJc w:val="left"/>
      <w:pPr>
        <w:ind w:left="720" w:hanging="360"/>
      </w:pPr>
      <w:rPr>
        <w:rFonts w:ascii="Symbol" w:hAnsi="Symbol" w:hint="default"/>
        <w:sz w:val="21"/>
        <w:szCs w:val="20"/>
      </w:rPr>
    </w:lvl>
    <w:lvl w:ilvl="1" w:tplc="7EDEA1E2">
      <w:start w:val="1"/>
      <w:numFmt w:val="decimal"/>
      <w:lvlText w:val="%2)"/>
      <w:lvlJc w:val="left"/>
      <w:pPr>
        <w:ind w:left="1440" w:hanging="360"/>
      </w:pPr>
      <w:rPr>
        <w:rFonts w:ascii="Arial" w:eastAsia="Times New Roman" w:hAnsi="Arial"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AD55D9"/>
    <w:multiLevelType w:val="hybridMultilevel"/>
    <w:tmpl w:val="4326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432013">
    <w:abstractNumId w:val="14"/>
    <w:lvlOverride w:ilvl="0"/>
    <w:lvlOverride w:ilvl="1">
      <w:startOverride w:val="1"/>
    </w:lvlOverride>
    <w:lvlOverride w:ilvl="2"/>
    <w:lvlOverride w:ilvl="3"/>
    <w:lvlOverride w:ilvl="4"/>
    <w:lvlOverride w:ilvl="5"/>
    <w:lvlOverride w:ilvl="6"/>
    <w:lvlOverride w:ilvl="7"/>
    <w:lvlOverride w:ilvl="8"/>
  </w:num>
  <w:num w:numId="2" w16cid:durableId="956254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081881">
    <w:abstractNumId w:val="10"/>
  </w:num>
  <w:num w:numId="4" w16cid:durableId="1687056811">
    <w:abstractNumId w:val="5"/>
  </w:num>
  <w:num w:numId="5" w16cid:durableId="1037849342">
    <w:abstractNumId w:val="9"/>
  </w:num>
  <w:num w:numId="6" w16cid:durableId="170417190">
    <w:abstractNumId w:val="11"/>
  </w:num>
  <w:num w:numId="7" w16cid:durableId="229849280">
    <w:abstractNumId w:val="5"/>
  </w:num>
  <w:num w:numId="8" w16cid:durableId="1877615786">
    <w:abstractNumId w:val="8"/>
  </w:num>
  <w:num w:numId="9" w16cid:durableId="1764760954">
    <w:abstractNumId w:val="1"/>
  </w:num>
  <w:num w:numId="10" w16cid:durableId="590360495">
    <w:abstractNumId w:val="15"/>
  </w:num>
  <w:num w:numId="11" w16cid:durableId="543446708">
    <w:abstractNumId w:val="3"/>
  </w:num>
  <w:num w:numId="12" w16cid:durableId="2067872825">
    <w:abstractNumId w:val="12"/>
  </w:num>
  <w:num w:numId="13" w16cid:durableId="1853106359">
    <w:abstractNumId w:val="2"/>
  </w:num>
  <w:num w:numId="14" w16cid:durableId="1879708211">
    <w:abstractNumId w:val="7"/>
  </w:num>
  <w:num w:numId="15" w16cid:durableId="1007908887">
    <w:abstractNumId w:val="13"/>
  </w:num>
  <w:num w:numId="16" w16cid:durableId="772746370">
    <w:abstractNumId w:val="4"/>
  </w:num>
  <w:num w:numId="17" w16cid:durableId="531958805">
    <w:abstractNumId w:val="4"/>
  </w:num>
  <w:num w:numId="18" w16cid:durableId="721562475">
    <w:abstractNumId w:val="4"/>
  </w:num>
  <w:num w:numId="19" w16cid:durableId="1855412901">
    <w:abstractNumId w:val="4"/>
  </w:num>
  <w:num w:numId="20" w16cid:durableId="602110295">
    <w:abstractNumId w:val="4"/>
  </w:num>
  <w:num w:numId="21" w16cid:durableId="1304774024">
    <w:abstractNumId w:val="4"/>
  </w:num>
  <w:num w:numId="22" w16cid:durableId="1116295179">
    <w:abstractNumId w:val="4"/>
  </w:num>
  <w:num w:numId="23" w16cid:durableId="1912426856">
    <w:abstractNumId w:val="4"/>
  </w:num>
  <w:num w:numId="24" w16cid:durableId="1507481236">
    <w:abstractNumId w:val="4"/>
  </w:num>
  <w:num w:numId="25" w16cid:durableId="613363825">
    <w:abstractNumId w:val="4"/>
  </w:num>
  <w:num w:numId="26" w16cid:durableId="2045858440">
    <w:abstractNumId w:val="0"/>
  </w:num>
  <w:num w:numId="27" w16cid:durableId="2072344299">
    <w:abstractNumId w:val="0"/>
  </w:num>
  <w:num w:numId="28" w16cid:durableId="15507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F6"/>
    <w:rsid w:val="000017E8"/>
    <w:rsid w:val="00001E52"/>
    <w:rsid w:val="00004E63"/>
    <w:rsid w:val="00005052"/>
    <w:rsid w:val="00005207"/>
    <w:rsid w:val="00006447"/>
    <w:rsid w:val="00011907"/>
    <w:rsid w:val="00013B80"/>
    <w:rsid w:val="00014C48"/>
    <w:rsid w:val="00014CC1"/>
    <w:rsid w:val="00015248"/>
    <w:rsid w:val="000162AE"/>
    <w:rsid w:val="000171AB"/>
    <w:rsid w:val="00017673"/>
    <w:rsid w:val="0002213B"/>
    <w:rsid w:val="00022D1C"/>
    <w:rsid w:val="00022D80"/>
    <w:rsid w:val="00025297"/>
    <w:rsid w:val="00025FD2"/>
    <w:rsid w:val="00034BBF"/>
    <w:rsid w:val="00036F4F"/>
    <w:rsid w:val="00040FB6"/>
    <w:rsid w:val="0004312B"/>
    <w:rsid w:val="00045BCB"/>
    <w:rsid w:val="00051390"/>
    <w:rsid w:val="00055FFE"/>
    <w:rsid w:val="00056338"/>
    <w:rsid w:val="00056DC2"/>
    <w:rsid w:val="00057E42"/>
    <w:rsid w:val="00060C25"/>
    <w:rsid w:val="000654B1"/>
    <w:rsid w:val="00067707"/>
    <w:rsid w:val="000678BB"/>
    <w:rsid w:val="000738DE"/>
    <w:rsid w:val="00075086"/>
    <w:rsid w:val="000823A4"/>
    <w:rsid w:val="00085AE9"/>
    <w:rsid w:val="00086E49"/>
    <w:rsid w:val="000874D2"/>
    <w:rsid w:val="00090F64"/>
    <w:rsid w:val="0009168C"/>
    <w:rsid w:val="00092822"/>
    <w:rsid w:val="00095AA1"/>
    <w:rsid w:val="000976F2"/>
    <w:rsid w:val="000A0E02"/>
    <w:rsid w:val="000A1BD1"/>
    <w:rsid w:val="000A3E11"/>
    <w:rsid w:val="000A4A1C"/>
    <w:rsid w:val="000A4A5D"/>
    <w:rsid w:val="000A6205"/>
    <w:rsid w:val="000A6710"/>
    <w:rsid w:val="000B19EB"/>
    <w:rsid w:val="000B1F05"/>
    <w:rsid w:val="000B45EF"/>
    <w:rsid w:val="000B7221"/>
    <w:rsid w:val="000C1FDA"/>
    <w:rsid w:val="000C5C3D"/>
    <w:rsid w:val="000C64C7"/>
    <w:rsid w:val="000D01C6"/>
    <w:rsid w:val="000D44EE"/>
    <w:rsid w:val="000D4ECC"/>
    <w:rsid w:val="000D5D02"/>
    <w:rsid w:val="000D7ED8"/>
    <w:rsid w:val="000E281C"/>
    <w:rsid w:val="000E54CC"/>
    <w:rsid w:val="000E6B9E"/>
    <w:rsid w:val="000F155E"/>
    <w:rsid w:val="000F2C09"/>
    <w:rsid w:val="000F2E4B"/>
    <w:rsid w:val="000F4FFD"/>
    <w:rsid w:val="000F50D2"/>
    <w:rsid w:val="000F5B93"/>
    <w:rsid w:val="000F67D6"/>
    <w:rsid w:val="001001FF"/>
    <w:rsid w:val="00102670"/>
    <w:rsid w:val="00102673"/>
    <w:rsid w:val="001044A9"/>
    <w:rsid w:val="0010485D"/>
    <w:rsid w:val="00114F5F"/>
    <w:rsid w:val="00117D88"/>
    <w:rsid w:val="0012031B"/>
    <w:rsid w:val="00120DBE"/>
    <w:rsid w:val="00122FF1"/>
    <w:rsid w:val="001235DC"/>
    <w:rsid w:val="0012529A"/>
    <w:rsid w:val="00125E0E"/>
    <w:rsid w:val="001313AD"/>
    <w:rsid w:val="0013195B"/>
    <w:rsid w:val="00134B12"/>
    <w:rsid w:val="00137618"/>
    <w:rsid w:val="00137D20"/>
    <w:rsid w:val="00140606"/>
    <w:rsid w:val="001414E7"/>
    <w:rsid w:val="00141A3A"/>
    <w:rsid w:val="0014417C"/>
    <w:rsid w:val="00146453"/>
    <w:rsid w:val="00146553"/>
    <w:rsid w:val="00146AFF"/>
    <w:rsid w:val="001503BB"/>
    <w:rsid w:val="00150A3F"/>
    <w:rsid w:val="00150C0A"/>
    <w:rsid w:val="00155892"/>
    <w:rsid w:val="00156302"/>
    <w:rsid w:val="0015689F"/>
    <w:rsid w:val="00160736"/>
    <w:rsid w:val="00161174"/>
    <w:rsid w:val="0016125E"/>
    <w:rsid w:val="00161577"/>
    <w:rsid w:val="00163C29"/>
    <w:rsid w:val="00166434"/>
    <w:rsid w:val="00170C62"/>
    <w:rsid w:val="001718A6"/>
    <w:rsid w:val="00172C47"/>
    <w:rsid w:val="00173435"/>
    <w:rsid w:val="001836D2"/>
    <w:rsid w:val="00183A84"/>
    <w:rsid w:val="00192E50"/>
    <w:rsid w:val="0019729F"/>
    <w:rsid w:val="001A0D37"/>
    <w:rsid w:val="001A1C49"/>
    <w:rsid w:val="001A2607"/>
    <w:rsid w:val="001A2A57"/>
    <w:rsid w:val="001A472F"/>
    <w:rsid w:val="001A5190"/>
    <w:rsid w:val="001A543B"/>
    <w:rsid w:val="001A6297"/>
    <w:rsid w:val="001A6EE0"/>
    <w:rsid w:val="001A76AE"/>
    <w:rsid w:val="001B01DF"/>
    <w:rsid w:val="001B28D2"/>
    <w:rsid w:val="001B3CF7"/>
    <w:rsid w:val="001B64D6"/>
    <w:rsid w:val="001C06CE"/>
    <w:rsid w:val="001C0D18"/>
    <w:rsid w:val="001C1787"/>
    <w:rsid w:val="001C1E5D"/>
    <w:rsid w:val="001C52B3"/>
    <w:rsid w:val="001C5D75"/>
    <w:rsid w:val="001C67E7"/>
    <w:rsid w:val="001C7F96"/>
    <w:rsid w:val="001D1EF3"/>
    <w:rsid w:val="001D3E20"/>
    <w:rsid w:val="001D5A53"/>
    <w:rsid w:val="001D7CFE"/>
    <w:rsid w:val="001F0FC6"/>
    <w:rsid w:val="001F12FE"/>
    <w:rsid w:val="001F14D5"/>
    <w:rsid w:val="001F15CF"/>
    <w:rsid w:val="001F375A"/>
    <w:rsid w:val="00202AC6"/>
    <w:rsid w:val="00206266"/>
    <w:rsid w:val="00207EA0"/>
    <w:rsid w:val="00211860"/>
    <w:rsid w:val="0021265C"/>
    <w:rsid w:val="00215543"/>
    <w:rsid w:val="002165AD"/>
    <w:rsid w:val="00217CCF"/>
    <w:rsid w:val="00222618"/>
    <w:rsid w:val="00223121"/>
    <w:rsid w:val="002233D6"/>
    <w:rsid w:val="0022406F"/>
    <w:rsid w:val="0023331B"/>
    <w:rsid w:val="002336D1"/>
    <w:rsid w:val="00233D58"/>
    <w:rsid w:val="0023528F"/>
    <w:rsid w:val="00235485"/>
    <w:rsid w:val="0023603A"/>
    <w:rsid w:val="00237039"/>
    <w:rsid w:val="00242D84"/>
    <w:rsid w:val="00244793"/>
    <w:rsid w:val="00246767"/>
    <w:rsid w:val="0024736D"/>
    <w:rsid w:val="00247AB2"/>
    <w:rsid w:val="002632BA"/>
    <w:rsid w:val="00272669"/>
    <w:rsid w:val="00273461"/>
    <w:rsid w:val="00276336"/>
    <w:rsid w:val="00282C16"/>
    <w:rsid w:val="00285E9D"/>
    <w:rsid w:val="00287D14"/>
    <w:rsid w:val="00293F84"/>
    <w:rsid w:val="00294C16"/>
    <w:rsid w:val="00295604"/>
    <w:rsid w:val="0029615B"/>
    <w:rsid w:val="002A0BF5"/>
    <w:rsid w:val="002A2BD7"/>
    <w:rsid w:val="002A34EB"/>
    <w:rsid w:val="002A3DCE"/>
    <w:rsid w:val="002A4AC4"/>
    <w:rsid w:val="002A7574"/>
    <w:rsid w:val="002B1232"/>
    <w:rsid w:val="002B5FB9"/>
    <w:rsid w:val="002C0ED5"/>
    <w:rsid w:val="002C14D2"/>
    <w:rsid w:val="002C1C0C"/>
    <w:rsid w:val="002C211C"/>
    <w:rsid w:val="002C21D2"/>
    <w:rsid w:val="002C2787"/>
    <w:rsid w:val="002C4BF3"/>
    <w:rsid w:val="002C549E"/>
    <w:rsid w:val="002C6D22"/>
    <w:rsid w:val="002C6F2D"/>
    <w:rsid w:val="002C739F"/>
    <w:rsid w:val="002D0B63"/>
    <w:rsid w:val="002D796F"/>
    <w:rsid w:val="002E0B55"/>
    <w:rsid w:val="002E12F3"/>
    <w:rsid w:val="002E2877"/>
    <w:rsid w:val="002E71C9"/>
    <w:rsid w:val="002E7488"/>
    <w:rsid w:val="002F23F7"/>
    <w:rsid w:val="002F4B35"/>
    <w:rsid w:val="002F547C"/>
    <w:rsid w:val="00300F75"/>
    <w:rsid w:val="00302C7E"/>
    <w:rsid w:val="003048C2"/>
    <w:rsid w:val="00310BBB"/>
    <w:rsid w:val="0031212E"/>
    <w:rsid w:val="003130F0"/>
    <w:rsid w:val="00314484"/>
    <w:rsid w:val="003152AA"/>
    <w:rsid w:val="00315506"/>
    <w:rsid w:val="00317617"/>
    <w:rsid w:val="00320DDA"/>
    <w:rsid w:val="003212DE"/>
    <w:rsid w:val="00324C64"/>
    <w:rsid w:val="00326E0E"/>
    <w:rsid w:val="003301B7"/>
    <w:rsid w:val="00331BA9"/>
    <w:rsid w:val="00333964"/>
    <w:rsid w:val="003340B1"/>
    <w:rsid w:val="00335579"/>
    <w:rsid w:val="003401A0"/>
    <w:rsid w:val="00340CF0"/>
    <w:rsid w:val="003415AC"/>
    <w:rsid w:val="0034345D"/>
    <w:rsid w:val="00343BFD"/>
    <w:rsid w:val="003468E4"/>
    <w:rsid w:val="003470A2"/>
    <w:rsid w:val="003507EC"/>
    <w:rsid w:val="003514E6"/>
    <w:rsid w:val="0035256E"/>
    <w:rsid w:val="00352E1D"/>
    <w:rsid w:val="00353260"/>
    <w:rsid w:val="003532A2"/>
    <w:rsid w:val="00354C0F"/>
    <w:rsid w:val="00356E07"/>
    <w:rsid w:val="003570ED"/>
    <w:rsid w:val="00357B0C"/>
    <w:rsid w:val="00362394"/>
    <w:rsid w:val="00363D14"/>
    <w:rsid w:val="00364CCB"/>
    <w:rsid w:val="00370C86"/>
    <w:rsid w:val="0037178B"/>
    <w:rsid w:val="00372B0B"/>
    <w:rsid w:val="003746AA"/>
    <w:rsid w:val="00382BC1"/>
    <w:rsid w:val="0038302F"/>
    <w:rsid w:val="00383355"/>
    <w:rsid w:val="00384C03"/>
    <w:rsid w:val="00390CFF"/>
    <w:rsid w:val="00390E72"/>
    <w:rsid w:val="00391BA4"/>
    <w:rsid w:val="00394284"/>
    <w:rsid w:val="00394CF8"/>
    <w:rsid w:val="00394E54"/>
    <w:rsid w:val="003969B2"/>
    <w:rsid w:val="0039776B"/>
    <w:rsid w:val="003A0326"/>
    <w:rsid w:val="003A33B9"/>
    <w:rsid w:val="003A57A0"/>
    <w:rsid w:val="003A736C"/>
    <w:rsid w:val="003AAEDD"/>
    <w:rsid w:val="003B4114"/>
    <w:rsid w:val="003C0102"/>
    <w:rsid w:val="003C2EDF"/>
    <w:rsid w:val="003C5CF3"/>
    <w:rsid w:val="003D1655"/>
    <w:rsid w:val="003D4363"/>
    <w:rsid w:val="003D4CB7"/>
    <w:rsid w:val="003D5957"/>
    <w:rsid w:val="003E0046"/>
    <w:rsid w:val="003E1A77"/>
    <w:rsid w:val="003E1C43"/>
    <w:rsid w:val="003E50A8"/>
    <w:rsid w:val="003E6015"/>
    <w:rsid w:val="003E6ACB"/>
    <w:rsid w:val="003E7E7C"/>
    <w:rsid w:val="003E7EF0"/>
    <w:rsid w:val="003F1092"/>
    <w:rsid w:val="003F10E4"/>
    <w:rsid w:val="003F2257"/>
    <w:rsid w:val="003F35AA"/>
    <w:rsid w:val="003F3D5E"/>
    <w:rsid w:val="00402679"/>
    <w:rsid w:val="00403D30"/>
    <w:rsid w:val="0040462E"/>
    <w:rsid w:val="0040684A"/>
    <w:rsid w:val="00412116"/>
    <w:rsid w:val="00414C08"/>
    <w:rsid w:val="004156AA"/>
    <w:rsid w:val="00416376"/>
    <w:rsid w:val="004205BA"/>
    <w:rsid w:val="00421B0C"/>
    <w:rsid w:val="0042230C"/>
    <w:rsid w:val="00425EC4"/>
    <w:rsid w:val="00431D55"/>
    <w:rsid w:val="0043238D"/>
    <w:rsid w:val="004333F0"/>
    <w:rsid w:val="0043355E"/>
    <w:rsid w:val="00435BFE"/>
    <w:rsid w:val="00436569"/>
    <w:rsid w:val="004409A5"/>
    <w:rsid w:val="00441F28"/>
    <w:rsid w:val="004456D4"/>
    <w:rsid w:val="004456E7"/>
    <w:rsid w:val="004457F8"/>
    <w:rsid w:val="004473E1"/>
    <w:rsid w:val="00447815"/>
    <w:rsid w:val="00452176"/>
    <w:rsid w:val="00455C21"/>
    <w:rsid w:val="00456F2B"/>
    <w:rsid w:val="00460ED5"/>
    <w:rsid w:val="004610FA"/>
    <w:rsid w:val="004634EC"/>
    <w:rsid w:val="00464D70"/>
    <w:rsid w:val="00465D87"/>
    <w:rsid w:val="00466580"/>
    <w:rsid w:val="00466745"/>
    <w:rsid w:val="0046698C"/>
    <w:rsid w:val="00471BA2"/>
    <w:rsid w:val="00472434"/>
    <w:rsid w:val="00472A76"/>
    <w:rsid w:val="00474B83"/>
    <w:rsid w:val="00474F1A"/>
    <w:rsid w:val="00474F27"/>
    <w:rsid w:val="004828B0"/>
    <w:rsid w:val="0048535A"/>
    <w:rsid w:val="00486336"/>
    <w:rsid w:val="004874AB"/>
    <w:rsid w:val="004910AE"/>
    <w:rsid w:val="004914E6"/>
    <w:rsid w:val="00494214"/>
    <w:rsid w:val="00494ADB"/>
    <w:rsid w:val="0049686E"/>
    <w:rsid w:val="0049704E"/>
    <w:rsid w:val="0049740B"/>
    <w:rsid w:val="004A0233"/>
    <w:rsid w:val="004A14FB"/>
    <w:rsid w:val="004A1E87"/>
    <w:rsid w:val="004A4FE0"/>
    <w:rsid w:val="004B2749"/>
    <w:rsid w:val="004B37FB"/>
    <w:rsid w:val="004B536A"/>
    <w:rsid w:val="004B564D"/>
    <w:rsid w:val="004B57CF"/>
    <w:rsid w:val="004C1399"/>
    <w:rsid w:val="004C342F"/>
    <w:rsid w:val="004C35AE"/>
    <w:rsid w:val="004C37D8"/>
    <w:rsid w:val="004C426E"/>
    <w:rsid w:val="004C7230"/>
    <w:rsid w:val="004C7236"/>
    <w:rsid w:val="004C7250"/>
    <w:rsid w:val="004D083C"/>
    <w:rsid w:val="004D3322"/>
    <w:rsid w:val="004D37C1"/>
    <w:rsid w:val="004D583A"/>
    <w:rsid w:val="004E1408"/>
    <w:rsid w:val="004E1A9F"/>
    <w:rsid w:val="004E30AB"/>
    <w:rsid w:val="004F1397"/>
    <w:rsid w:val="004F52EE"/>
    <w:rsid w:val="00500015"/>
    <w:rsid w:val="0050131D"/>
    <w:rsid w:val="0050213B"/>
    <w:rsid w:val="005044B8"/>
    <w:rsid w:val="00504EAD"/>
    <w:rsid w:val="0051381B"/>
    <w:rsid w:val="0052526E"/>
    <w:rsid w:val="0052596D"/>
    <w:rsid w:val="005262EB"/>
    <w:rsid w:val="0053248E"/>
    <w:rsid w:val="00532532"/>
    <w:rsid w:val="005330CD"/>
    <w:rsid w:val="00533539"/>
    <w:rsid w:val="00542CC0"/>
    <w:rsid w:val="005462A4"/>
    <w:rsid w:val="00550084"/>
    <w:rsid w:val="00556408"/>
    <w:rsid w:val="00556E9A"/>
    <w:rsid w:val="0056000A"/>
    <w:rsid w:val="00562983"/>
    <w:rsid w:val="005645FC"/>
    <w:rsid w:val="00564732"/>
    <w:rsid w:val="0056746C"/>
    <w:rsid w:val="0057043E"/>
    <w:rsid w:val="00574716"/>
    <w:rsid w:val="00575306"/>
    <w:rsid w:val="00576474"/>
    <w:rsid w:val="00576DA4"/>
    <w:rsid w:val="005800CC"/>
    <w:rsid w:val="00580718"/>
    <w:rsid w:val="00580B7D"/>
    <w:rsid w:val="00583857"/>
    <w:rsid w:val="005839DE"/>
    <w:rsid w:val="00585DB9"/>
    <w:rsid w:val="00587776"/>
    <w:rsid w:val="00590F4E"/>
    <w:rsid w:val="005915BB"/>
    <w:rsid w:val="00594414"/>
    <w:rsid w:val="0059448E"/>
    <w:rsid w:val="005A00C8"/>
    <w:rsid w:val="005A7159"/>
    <w:rsid w:val="005B739A"/>
    <w:rsid w:val="005C01EA"/>
    <w:rsid w:val="005C6F40"/>
    <w:rsid w:val="005D3084"/>
    <w:rsid w:val="005D3830"/>
    <w:rsid w:val="005D5773"/>
    <w:rsid w:val="005E0629"/>
    <w:rsid w:val="005E23C2"/>
    <w:rsid w:val="005E32C8"/>
    <w:rsid w:val="005E3772"/>
    <w:rsid w:val="005E48B8"/>
    <w:rsid w:val="005E4A82"/>
    <w:rsid w:val="005E5D0D"/>
    <w:rsid w:val="005F1F2D"/>
    <w:rsid w:val="005F37BA"/>
    <w:rsid w:val="005F48DB"/>
    <w:rsid w:val="005F4A90"/>
    <w:rsid w:val="00602606"/>
    <w:rsid w:val="0060482D"/>
    <w:rsid w:val="00604B83"/>
    <w:rsid w:val="00606453"/>
    <w:rsid w:val="00607469"/>
    <w:rsid w:val="00607BB6"/>
    <w:rsid w:val="00611082"/>
    <w:rsid w:val="0061484F"/>
    <w:rsid w:val="00614BF0"/>
    <w:rsid w:val="00616BE1"/>
    <w:rsid w:val="00616E6C"/>
    <w:rsid w:val="006179B2"/>
    <w:rsid w:val="00623558"/>
    <w:rsid w:val="00625260"/>
    <w:rsid w:val="0062586C"/>
    <w:rsid w:val="006263FC"/>
    <w:rsid w:val="0062681F"/>
    <w:rsid w:val="00626F92"/>
    <w:rsid w:val="006274E8"/>
    <w:rsid w:val="006350F8"/>
    <w:rsid w:val="00641233"/>
    <w:rsid w:val="006412E6"/>
    <w:rsid w:val="00642842"/>
    <w:rsid w:val="00642BAF"/>
    <w:rsid w:val="0064362A"/>
    <w:rsid w:val="006439D1"/>
    <w:rsid w:val="00645AD8"/>
    <w:rsid w:val="0064710B"/>
    <w:rsid w:val="00650C29"/>
    <w:rsid w:val="0065447D"/>
    <w:rsid w:val="006565AA"/>
    <w:rsid w:val="0066079D"/>
    <w:rsid w:val="0066116C"/>
    <w:rsid w:val="00663889"/>
    <w:rsid w:val="006645C0"/>
    <w:rsid w:val="006653E2"/>
    <w:rsid w:val="00665F4A"/>
    <w:rsid w:val="006661B3"/>
    <w:rsid w:val="00666FED"/>
    <w:rsid w:val="006676CB"/>
    <w:rsid w:val="0067124F"/>
    <w:rsid w:val="00671542"/>
    <w:rsid w:val="006718D2"/>
    <w:rsid w:val="00671C98"/>
    <w:rsid w:val="00672FA6"/>
    <w:rsid w:val="006732E6"/>
    <w:rsid w:val="00675BCC"/>
    <w:rsid w:val="006778E0"/>
    <w:rsid w:val="0068014A"/>
    <w:rsid w:val="00684E1C"/>
    <w:rsid w:val="0068606C"/>
    <w:rsid w:val="00686A26"/>
    <w:rsid w:val="006A1838"/>
    <w:rsid w:val="006A3F33"/>
    <w:rsid w:val="006A566F"/>
    <w:rsid w:val="006B0B57"/>
    <w:rsid w:val="006B3557"/>
    <w:rsid w:val="006B3643"/>
    <w:rsid w:val="006B3751"/>
    <w:rsid w:val="006B3E89"/>
    <w:rsid w:val="006B4009"/>
    <w:rsid w:val="006B7C87"/>
    <w:rsid w:val="006C3FB9"/>
    <w:rsid w:val="006C79BB"/>
    <w:rsid w:val="006D213D"/>
    <w:rsid w:val="006D4E74"/>
    <w:rsid w:val="006D6FBC"/>
    <w:rsid w:val="006E0A72"/>
    <w:rsid w:val="006E1E34"/>
    <w:rsid w:val="006E345C"/>
    <w:rsid w:val="006E6786"/>
    <w:rsid w:val="006E6B51"/>
    <w:rsid w:val="006F0D00"/>
    <w:rsid w:val="006F1F03"/>
    <w:rsid w:val="006F6CAF"/>
    <w:rsid w:val="00701EC8"/>
    <w:rsid w:val="00703AD3"/>
    <w:rsid w:val="007071A1"/>
    <w:rsid w:val="0070798E"/>
    <w:rsid w:val="00712E04"/>
    <w:rsid w:val="00717E15"/>
    <w:rsid w:val="00722738"/>
    <w:rsid w:val="00723462"/>
    <w:rsid w:val="00724CDA"/>
    <w:rsid w:val="00724CDB"/>
    <w:rsid w:val="007251DA"/>
    <w:rsid w:val="00726571"/>
    <w:rsid w:val="0073371D"/>
    <w:rsid w:val="00733CBB"/>
    <w:rsid w:val="00734374"/>
    <w:rsid w:val="00734838"/>
    <w:rsid w:val="00736BD1"/>
    <w:rsid w:val="007372D0"/>
    <w:rsid w:val="007418A0"/>
    <w:rsid w:val="0075142F"/>
    <w:rsid w:val="00753D87"/>
    <w:rsid w:val="00753FE4"/>
    <w:rsid w:val="00762AD8"/>
    <w:rsid w:val="00763002"/>
    <w:rsid w:val="007668ED"/>
    <w:rsid w:val="00766E6E"/>
    <w:rsid w:val="00770C49"/>
    <w:rsid w:val="007728FF"/>
    <w:rsid w:val="00773B5F"/>
    <w:rsid w:val="00774AF7"/>
    <w:rsid w:val="007801A3"/>
    <w:rsid w:val="00784312"/>
    <w:rsid w:val="0078440C"/>
    <w:rsid w:val="00785C1D"/>
    <w:rsid w:val="007878C2"/>
    <w:rsid w:val="00790CFA"/>
    <w:rsid w:val="00793269"/>
    <w:rsid w:val="007933E9"/>
    <w:rsid w:val="0079495E"/>
    <w:rsid w:val="007A33A1"/>
    <w:rsid w:val="007A7AE2"/>
    <w:rsid w:val="007B0082"/>
    <w:rsid w:val="007B146A"/>
    <w:rsid w:val="007B2D5D"/>
    <w:rsid w:val="007B5970"/>
    <w:rsid w:val="007C1204"/>
    <w:rsid w:val="007C1246"/>
    <w:rsid w:val="007C19C3"/>
    <w:rsid w:val="007C431B"/>
    <w:rsid w:val="007D52D5"/>
    <w:rsid w:val="007E1C44"/>
    <w:rsid w:val="007E3AC3"/>
    <w:rsid w:val="007E4547"/>
    <w:rsid w:val="007E5962"/>
    <w:rsid w:val="007F00E7"/>
    <w:rsid w:val="007F178F"/>
    <w:rsid w:val="007F1B74"/>
    <w:rsid w:val="007F6DD2"/>
    <w:rsid w:val="007F7C44"/>
    <w:rsid w:val="008018F8"/>
    <w:rsid w:val="008033B5"/>
    <w:rsid w:val="00811843"/>
    <w:rsid w:val="00811E8A"/>
    <w:rsid w:val="0081207C"/>
    <w:rsid w:val="00812188"/>
    <w:rsid w:val="00815FBD"/>
    <w:rsid w:val="0082388D"/>
    <w:rsid w:val="00826D0B"/>
    <w:rsid w:val="00831599"/>
    <w:rsid w:val="00832771"/>
    <w:rsid w:val="00834218"/>
    <w:rsid w:val="0083622E"/>
    <w:rsid w:val="00840721"/>
    <w:rsid w:val="00842269"/>
    <w:rsid w:val="00842A34"/>
    <w:rsid w:val="00845E5D"/>
    <w:rsid w:val="0084617F"/>
    <w:rsid w:val="008462A4"/>
    <w:rsid w:val="00846857"/>
    <w:rsid w:val="008535E9"/>
    <w:rsid w:val="00860003"/>
    <w:rsid w:val="008600A3"/>
    <w:rsid w:val="00861382"/>
    <w:rsid w:val="00861F84"/>
    <w:rsid w:val="00863590"/>
    <w:rsid w:val="00863CB5"/>
    <w:rsid w:val="00866FEA"/>
    <w:rsid w:val="00867929"/>
    <w:rsid w:val="00870E7C"/>
    <w:rsid w:val="00872E58"/>
    <w:rsid w:val="008737E1"/>
    <w:rsid w:val="008748E9"/>
    <w:rsid w:val="00877960"/>
    <w:rsid w:val="00880543"/>
    <w:rsid w:val="00882E8A"/>
    <w:rsid w:val="00883C25"/>
    <w:rsid w:val="00883E96"/>
    <w:rsid w:val="00885227"/>
    <w:rsid w:val="00890DAF"/>
    <w:rsid w:val="0089226D"/>
    <w:rsid w:val="00892623"/>
    <w:rsid w:val="008959EF"/>
    <w:rsid w:val="0089686C"/>
    <w:rsid w:val="00896AB3"/>
    <w:rsid w:val="00897159"/>
    <w:rsid w:val="008A08DA"/>
    <w:rsid w:val="008A1484"/>
    <w:rsid w:val="008A3260"/>
    <w:rsid w:val="008A6345"/>
    <w:rsid w:val="008A6B55"/>
    <w:rsid w:val="008B0D1C"/>
    <w:rsid w:val="008B1AE5"/>
    <w:rsid w:val="008B4E0C"/>
    <w:rsid w:val="008B629F"/>
    <w:rsid w:val="008B7F8E"/>
    <w:rsid w:val="008C04B6"/>
    <w:rsid w:val="008C0E03"/>
    <w:rsid w:val="008C221B"/>
    <w:rsid w:val="008C2D93"/>
    <w:rsid w:val="008C3AE1"/>
    <w:rsid w:val="008C5154"/>
    <w:rsid w:val="008C5CD0"/>
    <w:rsid w:val="008C74CA"/>
    <w:rsid w:val="008D0573"/>
    <w:rsid w:val="008D2FC6"/>
    <w:rsid w:val="008D6D92"/>
    <w:rsid w:val="008E0148"/>
    <w:rsid w:val="008E079A"/>
    <w:rsid w:val="008E0E24"/>
    <w:rsid w:val="008E1E77"/>
    <w:rsid w:val="008E224E"/>
    <w:rsid w:val="008E2516"/>
    <w:rsid w:val="008E4808"/>
    <w:rsid w:val="008F0C91"/>
    <w:rsid w:val="008F0D51"/>
    <w:rsid w:val="008F4B7D"/>
    <w:rsid w:val="008F582B"/>
    <w:rsid w:val="008F5A8B"/>
    <w:rsid w:val="008F624C"/>
    <w:rsid w:val="008F7B41"/>
    <w:rsid w:val="0090082E"/>
    <w:rsid w:val="00901156"/>
    <w:rsid w:val="009016D1"/>
    <w:rsid w:val="00901BD4"/>
    <w:rsid w:val="009026E4"/>
    <w:rsid w:val="00903B28"/>
    <w:rsid w:val="00905939"/>
    <w:rsid w:val="0090681F"/>
    <w:rsid w:val="009069F5"/>
    <w:rsid w:val="0090700C"/>
    <w:rsid w:val="0091332A"/>
    <w:rsid w:val="009174B3"/>
    <w:rsid w:val="00923064"/>
    <w:rsid w:val="009233CC"/>
    <w:rsid w:val="0092389C"/>
    <w:rsid w:val="00927D43"/>
    <w:rsid w:val="00930362"/>
    <w:rsid w:val="0093124A"/>
    <w:rsid w:val="00932E91"/>
    <w:rsid w:val="0093323F"/>
    <w:rsid w:val="0093327F"/>
    <w:rsid w:val="0093613B"/>
    <w:rsid w:val="00936FF6"/>
    <w:rsid w:val="00946045"/>
    <w:rsid w:val="00947697"/>
    <w:rsid w:val="009476F4"/>
    <w:rsid w:val="00947D42"/>
    <w:rsid w:val="00950877"/>
    <w:rsid w:val="00952FA1"/>
    <w:rsid w:val="00953A64"/>
    <w:rsid w:val="00955BAB"/>
    <w:rsid w:val="00957970"/>
    <w:rsid w:val="00957CCB"/>
    <w:rsid w:val="009621E1"/>
    <w:rsid w:val="00963A56"/>
    <w:rsid w:val="009654E1"/>
    <w:rsid w:val="00965E86"/>
    <w:rsid w:val="00966528"/>
    <w:rsid w:val="00967717"/>
    <w:rsid w:val="00971C7D"/>
    <w:rsid w:val="00973D56"/>
    <w:rsid w:val="00974F44"/>
    <w:rsid w:val="0098035F"/>
    <w:rsid w:val="00980BAF"/>
    <w:rsid w:val="00983822"/>
    <w:rsid w:val="00985EA4"/>
    <w:rsid w:val="00990E10"/>
    <w:rsid w:val="00990E39"/>
    <w:rsid w:val="00993B28"/>
    <w:rsid w:val="00994E5A"/>
    <w:rsid w:val="0099593A"/>
    <w:rsid w:val="00995C14"/>
    <w:rsid w:val="00995D9C"/>
    <w:rsid w:val="00996231"/>
    <w:rsid w:val="009A473D"/>
    <w:rsid w:val="009A4BDD"/>
    <w:rsid w:val="009B0727"/>
    <w:rsid w:val="009B5358"/>
    <w:rsid w:val="009B6181"/>
    <w:rsid w:val="009C20DA"/>
    <w:rsid w:val="009C3544"/>
    <w:rsid w:val="009C67CE"/>
    <w:rsid w:val="009C6EC1"/>
    <w:rsid w:val="009D6742"/>
    <w:rsid w:val="009D7B85"/>
    <w:rsid w:val="009E1C74"/>
    <w:rsid w:val="009E5947"/>
    <w:rsid w:val="009F1E05"/>
    <w:rsid w:val="009F2CCD"/>
    <w:rsid w:val="009F4D0E"/>
    <w:rsid w:val="009F6A1B"/>
    <w:rsid w:val="009F7155"/>
    <w:rsid w:val="009F7663"/>
    <w:rsid w:val="00A01D81"/>
    <w:rsid w:val="00A027E9"/>
    <w:rsid w:val="00A02C10"/>
    <w:rsid w:val="00A03A63"/>
    <w:rsid w:val="00A0445B"/>
    <w:rsid w:val="00A04A83"/>
    <w:rsid w:val="00A10FB9"/>
    <w:rsid w:val="00A13043"/>
    <w:rsid w:val="00A21091"/>
    <w:rsid w:val="00A21D58"/>
    <w:rsid w:val="00A23C74"/>
    <w:rsid w:val="00A25862"/>
    <w:rsid w:val="00A274CA"/>
    <w:rsid w:val="00A34852"/>
    <w:rsid w:val="00A351E8"/>
    <w:rsid w:val="00A391C7"/>
    <w:rsid w:val="00A419EC"/>
    <w:rsid w:val="00A41C39"/>
    <w:rsid w:val="00A45265"/>
    <w:rsid w:val="00A50C39"/>
    <w:rsid w:val="00A539A3"/>
    <w:rsid w:val="00A55DAA"/>
    <w:rsid w:val="00A60D63"/>
    <w:rsid w:val="00A62861"/>
    <w:rsid w:val="00A723FF"/>
    <w:rsid w:val="00A72890"/>
    <w:rsid w:val="00A824D6"/>
    <w:rsid w:val="00A82958"/>
    <w:rsid w:val="00A86563"/>
    <w:rsid w:val="00A90FF2"/>
    <w:rsid w:val="00A91956"/>
    <w:rsid w:val="00A928FC"/>
    <w:rsid w:val="00A95606"/>
    <w:rsid w:val="00A95966"/>
    <w:rsid w:val="00AA3DEF"/>
    <w:rsid w:val="00AA6FED"/>
    <w:rsid w:val="00AB5345"/>
    <w:rsid w:val="00AB6DB3"/>
    <w:rsid w:val="00AC0C05"/>
    <w:rsid w:val="00AC7882"/>
    <w:rsid w:val="00AC7AC7"/>
    <w:rsid w:val="00AD2C3F"/>
    <w:rsid w:val="00AD2C66"/>
    <w:rsid w:val="00AD350E"/>
    <w:rsid w:val="00AD3995"/>
    <w:rsid w:val="00AD58F5"/>
    <w:rsid w:val="00AD59DF"/>
    <w:rsid w:val="00AD5F8F"/>
    <w:rsid w:val="00AD661C"/>
    <w:rsid w:val="00AD6E83"/>
    <w:rsid w:val="00AD750A"/>
    <w:rsid w:val="00AE041E"/>
    <w:rsid w:val="00AE175D"/>
    <w:rsid w:val="00AF0F3E"/>
    <w:rsid w:val="00AF0F81"/>
    <w:rsid w:val="00AF13EF"/>
    <w:rsid w:val="00AF490D"/>
    <w:rsid w:val="00AF4F8D"/>
    <w:rsid w:val="00AF5629"/>
    <w:rsid w:val="00AF764E"/>
    <w:rsid w:val="00B00BED"/>
    <w:rsid w:val="00B02B56"/>
    <w:rsid w:val="00B0555C"/>
    <w:rsid w:val="00B05E52"/>
    <w:rsid w:val="00B06B9B"/>
    <w:rsid w:val="00B073C1"/>
    <w:rsid w:val="00B109C7"/>
    <w:rsid w:val="00B12A84"/>
    <w:rsid w:val="00B12D8B"/>
    <w:rsid w:val="00B14833"/>
    <w:rsid w:val="00B157AE"/>
    <w:rsid w:val="00B20ABE"/>
    <w:rsid w:val="00B22C68"/>
    <w:rsid w:val="00B24A1D"/>
    <w:rsid w:val="00B25919"/>
    <w:rsid w:val="00B276EE"/>
    <w:rsid w:val="00B30218"/>
    <w:rsid w:val="00B32808"/>
    <w:rsid w:val="00B335E4"/>
    <w:rsid w:val="00B34BE4"/>
    <w:rsid w:val="00B35C85"/>
    <w:rsid w:val="00B409CB"/>
    <w:rsid w:val="00B4148B"/>
    <w:rsid w:val="00B41C91"/>
    <w:rsid w:val="00B46F36"/>
    <w:rsid w:val="00B519A9"/>
    <w:rsid w:val="00B52E4C"/>
    <w:rsid w:val="00B55C3E"/>
    <w:rsid w:val="00B61228"/>
    <w:rsid w:val="00B61B20"/>
    <w:rsid w:val="00B63556"/>
    <w:rsid w:val="00B6412F"/>
    <w:rsid w:val="00B642DE"/>
    <w:rsid w:val="00B70CAF"/>
    <w:rsid w:val="00B74406"/>
    <w:rsid w:val="00B76020"/>
    <w:rsid w:val="00B76258"/>
    <w:rsid w:val="00B76D2E"/>
    <w:rsid w:val="00B83A42"/>
    <w:rsid w:val="00B911AC"/>
    <w:rsid w:val="00B91C89"/>
    <w:rsid w:val="00B92F11"/>
    <w:rsid w:val="00B9374A"/>
    <w:rsid w:val="00BA137D"/>
    <w:rsid w:val="00BA1B80"/>
    <w:rsid w:val="00BA2A4C"/>
    <w:rsid w:val="00BA37A8"/>
    <w:rsid w:val="00BA44F9"/>
    <w:rsid w:val="00BA46B5"/>
    <w:rsid w:val="00BA58E0"/>
    <w:rsid w:val="00BA5929"/>
    <w:rsid w:val="00BA7CA4"/>
    <w:rsid w:val="00BB0DD4"/>
    <w:rsid w:val="00BB178F"/>
    <w:rsid w:val="00BB17BA"/>
    <w:rsid w:val="00BB3896"/>
    <w:rsid w:val="00BB391A"/>
    <w:rsid w:val="00BB40A0"/>
    <w:rsid w:val="00BB61C2"/>
    <w:rsid w:val="00BC2127"/>
    <w:rsid w:val="00BC22F9"/>
    <w:rsid w:val="00BC3C86"/>
    <w:rsid w:val="00BC4675"/>
    <w:rsid w:val="00BC4F58"/>
    <w:rsid w:val="00BC61B5"/>
    <w:rsid w:val="00BC75A2"/>
    <w:rsid w:val="00BD17B9"/>
    <w:rsid w:val="00BD2C42"/>
    <w:rsid w:val="00BD70C7"/>
    <w:rsid w:val="00BE009B"/>
    <w:rsid w:val="00BE4372"/>
    <w:rsid w:val="00BE5ECA"/>
    <w:rsid w:val="00BE7141"/>
    <w:rsid w:val="00BE7508"/>
    <w:rsid w:val="00BE754C"/>
    <w:rsid w:val="00BF011B"/>
    <w:rsid w:val="00BF7160"/>
    <w:rsid w:val="00BF7462"/>
    <w:rsid w:val="00C035D6"/>
    <w:rsid w:val="00C04A1F"/>
    <w:rsid w:val="00C06167"/>
    <w:rsid w:val="00C06DD9"/>
    <w:rsid w:val="00C1357A"/>
    <w:rsid w:val="00C13C15"/>
    <w:rsid w:val="00C14FB5"/>
    <w:rsid w:val="00C17164"/>
    <w:rsid w:val="00C206FC"/>
    <w:rsid w:val="00C24380"/>
    <w:rsid w:val="00C25637"/>
    <w:rsid w:val="00C25BEC"/>
    <w:rsid w:val="00C2700E"/>
    <w:rsid w:val="00C30C93"/>
    <w:rsid w:val="00C318AB"/>
    <w:rsid w:val="00C332DE"/>
    <w:rsid w:val="00C33619"/>
    <w:rsid w:val="00C3388F"/>
    <w:rsid w:val="00C3717B"/>
    <w:rsid w:val="00C41CCA"/>
    <w:rsid w:val="00C43248"/>
    <w:rsid w:val="00C435CB"/>
    <w:rsid w:val="00C45891"/>
    <w:rsid w:val="00C45EC6"/>
    <w:rsid w:val="00C5035B"/>
    <w:rsid w:val="00C50B66"/>
    <w:rsid w:val="00C50C8D"/>
    <w:rsid w:val="00C51591"/>
    <w:rsid w:val="00C53AF8"/>
    <w:rsid w:val="00C54357"/>
    <w:rsid w:val="00C57578"/>
    <w:rsid w:val="00C60692"/>
    <w:rsid w:val="00C60B95"/>
    <w:rsid w:val="00C615EA"/>
    <w:rsid w:val="00C61FAA"/>
    <w:rsid w:val="00C621B4"/>
    <w:rsid w:val="00C62D8E"/>
    <w:rsid w:val="00C62FEF"/>
    <w:rsid w:val="00C642E0"/>
    <w:rsid w:val="00C72862"/>
    <w:rsid w:val="00C72C64"/>
    <w:rsid w:val="00C7318A"/>
    <w:rsid w:val="00C73594"/>
    <w:rsid w:val="00C743F8"/>
    <w:rsid w:val="00C75373"/>
    <w:rsid w:val="00C768A9"/>
    <w:rsid w:val="00C81658"/>
    <w:rsid w:val="00C81D6E"/>
    <w:rsid w:val="00C82E22"/>
    <w:rsid w:val="00C83509"/>
    <w:rsid w:val="00C90022"/>
    <w:rsid w:val="00C94C7B"/>
    <w:rsid w:val="00C96166"/>
    <w:rsid w:val="00CA3381"/>
    <w:rsid w:val="00CA33CA"/>
    <w:rsid w:val="00CA3F4B"/>
    <w:rsid w:val="00CA44D1"/>
    <w:rsid w:val="00CA5141"/>
    <w:rsid w:val="00CA54A6"/>
    <w:rsid w:val="00CA7A91"/>
    <w:rsid w:val="00CB0E06"/>
    <w:rsid w:val="00CB1AED"/>
    <w:rsid w:val="00CB5B38"/>
    <w:rsid w:val="00CB61C6"/>
    <w:rsid w:val="00CC107C"/>
    <w:rsid w:val="00CC1144"/>
    <w:rsid w:val="00CC3398"/>
    <w:rsid w:val="00CC4B6A"/>
    <w:rsid w:val="00CC512E"/>
    <w:rsid w:val="00CC54D4"/>
    <w:rsid w:val="00CC5AF4"/>
    <w:rsid w:val="00CC6BD8"/>
    <w:rsid w:val="00CD0938"/>
    <w:rsid w:val="00CD1F2B"/>
    <w:rsid w:val="00CD3B4C"/>
    <w:rsid w:val="00CD49F8"/>
    <w:rsid w:val="00CD5F00"/>
    <w:rsid w:val="00CF1CFE"/>
    <w:rsid w:val="00CF1DD1"/>
    <w:rsid w:val="00CF27C7"/>
    <w:rsid w:val="00D05134"/>
    <w:rsid w:val="00D057D5"/>
    <w:rsid w:val="00D07CD0"/>
    <w:rsid w:val="00D15929"/>
    <w:rsid w:val="00D21B86"/>
    <w:rsid w:val="00D22615"/>
    <w:rsid w:val="00D248AE"/>
    <w:rsid w:val="00D26554"/>
    <w:rsid w:val="00D26AA0"/>
    <w:rsid w:val="00D308AA"/>
    <w:rsid w:val="00D312F1"/>
    <w:rsid w:val="00D3183B"/>
    <w:rsid w:val="00D346A1"/>
    <w:rsid w:val="00D40AE8"/>
    <w:rsid w:val="00D45834"/>
    <w:rsid w:val="00D458FB"/>
    <w:rsid w:val="00D5001D"/>
    <w:rsid w:val="00D5039D"/>
    <w:rsid w:val="00D51BB7"/>
    <w:rsid w:val="00D52935"/>
    <w:rsid w:val="00D533FB"/>
    <w:rsid w:val="00D53D85"/>
    <w:rsid w:val="00D54995"/>
    <w:rsid w:val="00D56AD2"/>
    <w:rsid w:val="00D6008F"/>
    <w:rsid w:val="00D60C08"/>
    <w:rsid w:val="00D6119B"/>
    <w:rsid w:val="00D6375F"/>
    <w:rsid w:val="00D64BF5"/>
    <w:rsid w:val="00D65FAC"/>
    <w:rsid w:val="00D70C88"/>
    <w:rsid w:val="00D741F3"/>
    <w:rsid w:val="00D749BA"/>
    <w:rsid w:val="00D76298"/>
    <w:rsid w:val="00D76323"/>
    <w:rsid w:val="00D811D5"/>
    <w:rsid w:val="00D86937"/>
    <w:rsid w:val="00D97B28"/>
    <w:rsid w:val="00DA7DEE"/>
    <w:rsid w:val="00DA7EE9"/>
    <w:rsid w:val="00DB4A48"/>
    <w:rsid w:val="00DB624B"/>
    <w:rsid w:val="00DC1A84"/>
    <w:rsid w:val="00DC554D"/>
    <w:rsid w:val="00DC5770"/>
    <w:rsid w:val="00DC62D5"/>
    <w:rsid w:val="00DC6A01"/>
    <w:rsid w:val="00DC6B0F"/>
    <w:rsid w:val="00DD0101"/>
    <w:rsid w:val="00DD0B4D"/>
    <w:rsid w:val="00DD1020"/>
    <w:rsid w:val="00DD210C"/>
    <w:rsid w:val="00DD351C"/>
    <w:rsid w:val="00DD38A6"/>
    <w:rsid w:val="00DD5003"/>
    <w:rsid w:val="00DD5B92"/>
    <w:rsid w:val="00DD65B6"/>
    <w:rsid w:val="00DD695D"/>
    <w:rsid w:val="00DE2E39"/>
    <w:rsid w:val="00DE3192"/>
    <w:rsid w:val="00DE73FD"/>
    <w:rsid w:val="00DF2430"/>
    <w:rsid w:val="00DF27AC"/>
    <w:rsid w:val="00DF2FB9"/>
    <w:rsid w:val="00DF3080"/>
    <w:rsid w:val="00DF4919"/>
    <w:rsid w:val="00E015FE"/>
    <w:rsid w:val="00E0404F"/>
    <w:rsid w:val="00E05DCF"/>
    <w:rsid w:val="00E07C47"/>
    <w:rsid w:val="00E1078D"/>
    <w:rsid w:val="00E115F9"/>
    <w:rsid w:val="00E135AB"/>
    <w:rsid w:val="00E13637"/>
    <w:rsid w:val="00E15FBE"/>
    <w:rsid w:val="00E2138E"/>
    <w:rsid w:val="00E24BEF"/>
    <w:rsid w:val="00E258E9"/>
    <w:rsid w:val="00E26D82"/>
    <w:rsid w:val="00E27354"/>
    <w:rsid w:val="00E2775E"/>
    <w:rsid w:val="00E27A2A"/>
    <w:rsid w:val="00E3003E"/>
    <w:rsid w:val="00E32BC4"/>
    <w:rsid w:val="00E33882"/>
    <w:rsid w:val="00E347D8"/>
    <w:rsid w:val="00E34991"/>
    <w:rsid w:val="00E368C4"/>
    <w:rsid w:val="00E373D5"/>
    <w:rsid w:val="00E37430"/>
    <w:rsid w:val="00E42343"/>
    <w:rsid w:val="00E441A2"/>
    <w:rsid w:val="00E444F2"/>
    <w:rsid w:val="00E451A1"/>
    <w:rsid w:val="00E514E7"/>
    <w:rsid w:val="00E52503"/>
    <w:rsid w:val="00E534F8"/>
    <w:rsid w:val="00E5510B"/>
    <w:rsid w:val="00E60BED"/>
    <w:rsid w:val="00E6187B"/>
    <w:rsid w:val="00E62630"/>
    <w:rsid w:val="00E6369B"/>
    <w:rsid w:val="00E6562E"/>
    <w:rsid w:val="00E679D3"/>
    <w:rsid w:val="00E727B6"/>
    <w:rsid w:val="00E74EC9"/>
    <w:rsid w:val="00E75436"/>
    <w:rsid w:val="00E76023"/>
    <w:rsid w:val="00E804A2"/>
    <w:rsid w:val="00E8196B"/>
    <w:rsid w:val="00E82B8F"/>
    <w:rsid w:val="00E82E7A"/>
    <w:rsid w:val="00E844CD"/>
    <w:rsid w:val="00E868BB"/>
    <w:rsid w:val="00E876A8"/>
    <w:rsid w:val="00E87F47"/>
    <w:rsid w:val="00E9038A"/>
    <w:rsid w:val="00E922BA"/>
    <w:rsid w:val="00E9450D"/>
    <w:rsid w:val="00E94C1B"/>
    <w:rsid w:val="00E95CE0"/>
    <w:rsid w:val="00E972A3"/>
    <w:rsid w:val="00EA0393"/>
    <w:rsid w:val="00EA19CD"/>
    <w:rsid w:val="00EA49B5"/>
    <w:rsid w:val="00EB089B"/>
    <w:rsid w:val="00EB09F0"/>
    <w:rsid w:val="00EB2CA6"/>
    <w:rsid w:val="00EB3CDB"/>
    <w:rsid w:val="00EB6463"/>
    <w:rsid w:val="00EC1976"/>
    <w:rsid w:val="00EC368E"/>
    <w:rsid w:val="00EC642B"/>
    <w:rsid w:val="00ED0F70"/>
    <w:rsid w:val="00ED2F9A"/>
    <w:rsid w:val="00ED31C3"/>
    <w:rsid w:val="00ED3CAB"/>
    <w:rsid w:val="00ED3FD2"/>
    <w:rsid w:val="00ED4C28"/>
    <w:rsid w:val="00ED6099"/>
    <w:rsid w:val="00ED6C2C"/>
    <w:rsid w:val="00EE5413"/>
    <w:rsid w:val="00EE65E4"/>
    <w:rsid w:val="00EF048D"/>
    <w:rsid w:val="00EF0929"/>
    <w:rsid w:val="00EF248F"/>
    <w:rsid w:val="00EF5216"/>
    <w:rsid w:val="00EF67BE"/>
    <w:rsid w:val="00EF7A1B"/>
    <w:rsid w:val="00EF7E52"/>
    <w:rsid w:val="00F07CD5"/>
    <w:rsid w:val="00F1133B"/>
    <w:rsid w:val="00F11C60"/>
    <w:rsid w:val="00F14684"/>
    <w:rsid w:val="00F16A6D"/>
    <w:rsid w:val="00F23E4F"/>
    <w:rsid w:val="00F248FD"/>
    <w:rsid w:val="00F24EF1"/>
    <w:rsid w:val="00F314BC"/>
    <w:rsid w:val="00F336D8"/>
    <w:rsid w:val="00F33834"/>
    <w:rsid w:val="00F35928"/>
    <w:rsid w:val="00F370E7"/>
    <w:rsid w:val="00F41E30"/>
    <w:rsid w:val="00F54AD4"/>
    <w:rsid w:val="00F55103"/>
    <w:rsid w:val="00F55DAA"/>
    <w:rsid w:val="00F60F78"/>
    <w:rsid w:val="00F61328"/>
    <w:rsid w:val="00F615AC"/>
    <w:rsid w:val="00F62A9A"/>
    <w:rsid w:val="00F70168"/>
    <w:rsid w:val="00F70254"/>
    <w:rsid w:val="00F70C89"/>
    <w:rsid w:val="00F72CA3"/>
    <w:rsid w:val="00F73EAD"/>
    <w:rsid w:val="00F77948"/>
    <w:rsid w:val="00F77BE0"/>
    <w:rsid w:val="00F80AFE"/>
    <w:rsid w:val="00F81043"/>
    <w:rsid w:val="00F840FE"/>
    <w:rsid w:val="00F876C7"/>
    <w:rsid w:val="00F920C4"/>
    <w:rsid w:val="00F920D6"/>
    <w:rsid w:val="00F9303A"/>
    <w:rsid w:val="00F946E6"/>
    <w:rsid w:val="00FA00B2"/>
    <w:rsid w:val="00FA30F8"/>
    <w:rsid w:val="00FA497D"/>
    <w:rsid w:val="00FA6556"/>
    <w:rsid w:val="00FA68F7"/>
    <w:rsid w:val="00FB0B21"/>
    <w:rsid w:val="00FB13B0"/>
    <w:rsid w:val="00FB1616"/>
    <w:rsid w:val="00FB3C7D"/>
    <w:rsid w:val="00FB4002"/>
    <w:rsid w:val="00FB43B1"/>
    <w:rsid w:val="00FB5191"/>
    <w:rsid w:val="00FB6915"/>
    <w:rsid w:val="00FC2945"/>
    <w:rsid w:val="00FC29D4"/>
    <w:rsid w:val="00FC3322"/>
    <w:rsid w:val="00FC4923"/>
    <w:rsid w:val="00FD0EBA"/>
    <w:rsid w:val="00FD5384"/>
    <w:rsid w:val="00FD5941"/>
    <w:rsid w:val="00FD79CD"/>
    <w:rsid w:val="00FE15D9"/>
    <w:rsid w:val="00FE4D1D"/>
    <w:rsid w:val="00FE59C2"/>
    <w:rsid w:val="00FF1DC4"/>
    <w:rsid w:val="00FF4492"/>
    <w:rsid w:val="0122303A"/>
    <w:rsid w:val="01293C5A"/>
    <w:rsid w:val="012C8617"/>
    <w:rsid w:val="014F6E65"/>
    <w:rsid w:val="0155E828"/>
    <w:rsid w:val="016F851F"/>
    <w:rsid w:val="01779B79"/>
    <w:rsid w:val="017C257F"/>
    <w:rsid w:val="01822CEE"/>
    <w:rsid w:val="0187DFC9"/>
    <w:rsid w:val="01B5126F"/>
    <w:rsid w:val="01B8E7F7"/>
    <w:rsid w:val="01D12794"/>
    <w:rsid w:val="01E01A8F"/>
    <w:rsid w:val="01E45912"/>
    <w:rsid w:val="01E54F74"/>
    <w:rsid w:val="020D2EA4"/>
    <w:rsid w:val="021880EB"/>
    <w:rsid w:val="021AC45F"/>
    <w:rsid w:val="02520F92"/>
    <w:rsid w:val="026C5E1B"/>
    <w:rsid w:val="0276B7CF"/>
    <w:rsid w:val="02775A6E"/>
    <w:rsid w:val="027B7156"/>
    <w:rsid w:val="02822CAD"/>
    <w:rsid w:val="0286AF65"/>
    <w:rsid w:val="02ACE031"/>
    <w:rsid w:val="02D4E0CA"/>
    <w:rsid w:val="031ADD8E"/>
    <w:rsid w:val="031AE8D4"/>
    <w:rsid w:val="0321ABAB"/>
    <w:rsid w:val="0325C2B9"/>
    <w:rsid w:val="03385E14"/>
    <w:rsid w:val="0345D0F1"/>
    <w:rsid w:val="0348FA7E"/>
    <w:rsid w:val="034EBCDE"/>
    <w:rsid w:val="035AD68F"/>
    <w:rsid w:val="036C4CF5"/>
    <w:rsid w:val="037129F9"/>
    <w:rsid w:val="0379097C"/>
    <w:rsid w:val="039F4E6C"/>
    <w:rsid w:val="03CE1A23"/>
    <w:rsid w:val="041483CB"/>
    <w:rsid w:val="044BE7D8"/>
    <w:rsid w:val="04640889"/>
    <w:rsid w:val="0465FDFA"/>
    <w:rsid w:val="047133C6"/>
    <w:rsid w:val="048F2EEC"/>
    <w:rsid w:val="048F3892"/>
    <w:rsid w:val="049E1F6B"/>
    <w:rsid w:val="049EF6EC"/>
    <w:rsid w:val="04A14DD3"/>
    <w:rsid w:val="04B15DA1"/>
    <w:rsid w:val="04B34DE4"/>
    <w:rsid w:val="04EDC872"/>
    <w:rsid w:val="04F04D9D"/>
    <w:rsid w:val="04F5E666"/>
    <w:rsid w:val="05130E18"/>
    <w:rsid w:val="05585773"/>
    <w:rsid w:val="055D8D45"/>
    <w:rsid w:val="0566801B"/>
    <w:rsid w:val="05706A1F"/>
    <w:rsid w:val="059D7E43"/>
    <w:rsid w:val="05AE5D69"/>
    <w:rsid w:val="05B98EC6"/>
    <w:rsid w:val="05E48BD8"/>
    <w:rsid w:val="05FFCE7D"/>
    <w:rsid w:val="062EE018"/>
    <w:rsid w:val="063B6AEE"/>
    <w:rsid w:val="068BD05B"/>
    <w:rsid w:val="06C2FF4B"/>
    <w:rsid w:val="06D07C62"/>
    <w:rsid w:val="06F9DDAB"/>
    <w:rsid w:val="0719186F"/>
    <w:rsid w:val="0721D763"/>
    <w:rsid w:val="0724B5BD"/>
    <w:rsid w:val="075049E4"/>
    <w:rsid w:val="0752C805"/>
    <w:rsid w:val="075A1AB9"/>
    <w:rsid w:val="076C5F56"/>
    <w:rsid w:val="07BE1D2A"/>
    <w:rsid w:val="085A4480"/>
    <w:rsid w:val="0884F50D"/>
    <w:rsid w:val="08AFD1F5"/>
    <w:rsid w:val="08D45CA8"/>
    <w:rsid w:val="08FF54C0"/>
    <w:rsid w:val="09239565"/>
    <w:rsid w:val="0923F5C2"/>
    <w:rsid w:val="092FF822"/>
    <w:rsid w:val="096A79A4"/>
    <w:rsid w:val="097B5BE8"/>
    <w:rsid w:val="0981C1B8"/>
    <w:rsid w:val="09CF3B72"/>
    <w:rsid w:val="09DCD49B"/>
    <w:rsid w:val="09F045CC"/>
    <w:rsid w:val="0A5488A5"/>
    <w:rsid w:val="0A5633C9"/>
    <w:rsid w:val="0A86F28C"/>
    <w:rsid w:val="0AA26275"/>
    <w:rsid w:val="0AC6B34C"/>
    <w:rsid w:val="0AE60D36"/>
    <w:rsid w:val="0B16D9D5"/>
    <w:rsid w:val="0B1D81F1"/>
    <w:rsid w:val="0B2913E7"/>
    <w:rsid w:val="0B4529E7"/>
    <w:rsid w:val="0B527655"/>
    <w:rsid w:val="0B913FEE"/>
    <w:rsid w:val="0B987190"/>
    <w:rsid w:val="0BB6DBF8"/>
    <w:rsid w:val="0BEF06ED"/>
    <w:rsid w:val="0BF975D3"/>
    <w:rsid w:val="0C13CD4F"/>
    <w:rsid w:val="0C3DA1BB"/>
    <w:rsid w:val="0C62FFD1"/>
    <w:rsid w:val="0C864E41"/>
    <w:rsid w:val="0C9934DC"/>
    <w:rsid w:val="0C9C8BF8"/>
    <w:rsid w:val="0CE38784"/>
    <w:rsid w:val="0CE67D60"/>
    <w:rsid w:val="0CF5487E"/>
    <w:rsid w:val="0D2775F8"/>
    <w:rsid w:val="0D393359"/>
    <w:rsid w:val="0D530413"/>
    <w:rsid w:val="0D57AFAE"/>
    <w:rsid w:val="0DB7150F"/>
    <w:rsid w:val="0DBBF93C"/>
    <w:rsid w:val="0DCEB308"/>
    <w:rsid w:val="0E302E16"/>
    <w:rsid w:val="0E357FB8"/>
    <w:rsid w:val="0E42FA51"/>
    <w:rsid w:val="0E710231"/>
    <w:rsid w:val="0E78B97F"/>
    <w:rsid w:val="0E8E388E"/>
    <w:rsid w:val="0EB79BA5"/>
    <w:rsid w:val="0EB8577C"/>
    <w:rsid w:val="0EF98AC5"/>
    <w:rsid w:val="0F6A5A4D"/>
    <w:rsid w:val="0F808EAC"/>
    <w:rsid w:val="0F96C548"/>
    <w:rsid w:val="0F98ADB6"/>
    <w:rsid w:val="0FA74C5D"/>
    <w:rsid w:val="0FBF1099"/>
    <w:rsid w:val="0FCC3FD4"/>
    <w:rsid w:val="0FD3FC94"/>
    <w:rsid w:val="0FDE31AF"/>
    <w:rsid w:val="0FEF21BE"/>
    <w:rsid w:val="0FF0813A"/>
    <w:rsid w:val="0FF5ED16"/>
    <w:rsid w:val="100D8921"/>
    <w:rsid w:val="100DB570"/>
    <w:rsid w:val="103C6BA2"/>
    <w:rsid w:val="105A16BF"/>
    <w:rsid w:val="107209A4"/>
    <w:rsid w:val="1091ACFD"/>
    <w:rsid w:val="1091C414"/>
    <w:rsid w:val="10E02611"/>
    <w:rsid w:val="10EDA4A2"/>
    <w:rsid w:val="1102C49D"/>
    <w:rsid w:val="11A1501E"/>
    <w:rsid w:val="11C233E1"/>
    <w:rsid w:val="11DBE836"/>
    <w:rsid w:val="12049A0C"/>
    <w:rsid w:val="1234C0A3"/>
    <w:rsid w:val="1257A30A"/>
    <w:rsid w:val="1257F04D"/>
    <w:rsid w:val="127A2C67"/>
    <w:rsid w:val="128217B8"/>
    <w:rsid w:val="12B45F40"/>
    <w:rsid w:val="12B475A1"/>
    <w:rsid w:val="12C22CB9"/>
    <w:rsid w:val="12C2AB55"/>
    <w:rsid w:val="12CD22C3"/>
    <w:rsid w:val="12E40CE1"/>
    <w:rsid w:val="130237F6"/>
    <w:rsid w:val="1318C9BA"/>
    <w:rsid w:val="131D8A34"/>
    <w:rsid w:val="1322F2C7"/>
    <w:rsid w:val="132F17B7"/>
    <w:rsid w:val="133F0145"/>
    <w:rsid w:val="1376297C"/>
    <w:rsid w:val="137B4210"/>
    <w:rsid w:val="1397CEE6"/>
    <w:rsid w:val="13B1521A"/>
    <w:rsid w:val="13B76247"/>
    <w:rsid w:val="13BAA7B7"/>
    <w:rsid w:val="13D08E71"/>
    <w:rsid w:val="13EB9856"/>
    <w:rsid w:val="13F8647B"/>
    <w:rsid w:val="1400589F"/>
    <w:rsid w:val="140227F7"/>
    <w:rsid w:val="142B7B5B"/>
    <w:rsid w:val="14316238"/>
    <w:rsid w:val="14739C53"/>
    <w:rsid w:val="14A80CF2"/>
    <w:rsid w:val="14C5A73D"/>
    <w:rsid w:val="1516353D"/>
    <w:rsid w:val="151D6722"/>
    <w:rsid w:val="1522286D"/>
    <w:rsid w:val="15284E9B"/>
    <w:rsid w:val="153EECE2"/>
    <w:rsid w:val="153F93FE"/>
    <w:rsid w:val="15744B11"/>
    <w:rsid w:val="1586FE88"/>
    <w:rsid w:val="15981FEE"/>
    <w:rsid w:val="15AAAAD0"/>
    <w:rsid w:val="15B51B18"/>
    <w:rsid w:val="15D99601"/>
    <w:rsid w:val="15DB5D38"/>
    <w:rsid w:val="15FBE34F"/>
    <w:rsid w:val="15FC1E0D"/>
    <w:rsid w:val="161085FC"/>
    <w:rsid w:val="1625D2FA"/>
    <w:rsid w:val="1629BD87"/>
    <w:rsid w:val="163B2DCD"/>
    <w:rsid w:val="163C17CA"/>
    <w:rsid w:val="1643F9FA"/>
    <w:rsid w:val="16584559"/>
    <w:rsid w:val="167F90E2"/>
    <w:rsid w:val="169A14A2"/>
    <w:rsid w:val="16B25958"/>
    <w:rsid w:val="16BE90C6"/>
    <w:rsid w:val="16C61F27"/>
    <w:rsid w:val="16C64356"/>
    <w:rsid w:val="16CA657D"/>
    <w:rsid w:val="16CA9865"/>
    <w:rsid w:val="1707C368"/>
    <w:rsid w:val="171A1BCC"/>
    <w:rsid w:val="179FF29A"/>
    <w:rsid w:val="17A32B50"/>
    <w:rsid w:val="17AB5F8C"/>
    <w:rsid w:val="17BD1AC1"/>
    <w:rsid w:val="17CFB2D6"/>
    <w:rsid w:val="17F8FF41"/>
    <w:rsid w:val="180B3A44"/>
    <w:rsid w:val="1836FCF8"/>
    <w:rsid w:val="18646830"/>
    <w:rsid w:val="1866324C"/>
    <w:rsid w:val="18832B48"/>
    <w:rsid w:val="18A5A60A"/>
    <w:rsid w:val="18AF04EE"/>
    <w:rsid w:val="18C6E5BC"/>
    <w:rsid w:val="196AB55B"/>
    <w:rsid w:val="19722957"/>
    <w:rsid w:val="19A7051D"/>
    <w:rsid w:val="19B3D3C6"/>
    <w:rsid w:val="19BE5AFB"/>
    <w:rsid w:val="19BF2B4A"/>
    <w:rsid w:val="19E24FB9"/>
    <w:rsid w:val="19E2D4CE"/>
    <w:rsid w:val="1A48B4BD"/>
    <w:rsid w:val="1A4BCF17"/>
    <w:rsid w:val="1A5E8D67"/>
    <w:rsid w:val="1A72E9AD"/>
    <w:rsid w:val="1AA0DCBD"/>
    <w:rsid w:val="1AC6BA04"/>
    <w:rsid w:val="1AE8FF2D"/>
    <w:rsid w:val="1AFF6BFE"/>
    <w:rsid w:val="1B29A85A"/>
    <w:rsid w:val="1B3C8572"/>
    <w:rsid w:val="1B3F954B"/>
    <w:rsid w:val="1B512929"/>
    <w:rsid w:val="1B5D58BC"/>
    <w:rsid w:val="1B69DB76"/>
    <w:rsid w:val="1B8DAD5F"/>
    <w:rsid w:val="1B9CB447"/>
    <w:rsid w:val="1BA65D2E"/>
    <w:rsid w:val="1BB26542"/>
    <w:rsid w:val="1BC722EE"/>
    <w:rsid w:val="1BCB3F93"/>
    <w:rsid w:val="1BF3F22A"/>
    <w:rsid w:val="1C261F78"/>
    <w:rsid w:val="1C3253D5"/>
    <w:rsid w:val="1C3650F6"/>
    <w:rsid w:val="1C3C43D6"/>
    <w:rsid w:val="1C734B7A"/>
    <w:rsid w:val="1C96D0B6"/>
    <w:rsid w:val="1CA85368"/>
    <w:rsid w:val="1CB44818"/>
    <w:rsid w:val="1CD8AF7C"/>
    <w:rsid w:val="1CEDAFD5"/>
    <w:rsid w:val="1D2491C9"/>
    <w:rsid w:val="1D261F12"/>
    <w:rsid w:val="1D27AB5C"/>
    <w:rsid w:val="1D4F33A1"/>
    <w:rsid w:val="1D5A3D7C"/>
    <w:rsid w:val="1D63AB12"/>
    <w:rsid w:val="1D6FEEE5"/>
    <w:rsid w:val="1D78B7ED"/>
    <w:rsid w:val="1DC86B9D"/>
    <w:rsid w:val="1DDC220E"/>
    <w:rsid w:val="1DDD12E2"/>
    <w:rsid w:val="1E051F68"/>
    <w:rsid w:val="1E2DE61E"/>
    <w:rsid w:val="1E331EE6"/>
    <w:rsid w:val="1E360259"/>
    <w:rsid w:val="1E96D4E6"/>
    <w:rsid w:val="1EE61E50"/>
    <w:rsid w:val="1EE9C977"/>
    <w:rsid w:val="1EF05E00"/>
    <w:rsid w:val="1F2FBAB8"/>
    <w:rsid w:val="1F537991"/>
    <w:rsid w:val="1F584C49"/>
    <w:rsid w:val="1F5FD89D"/>
    <w:rsid w:val="1F7EE4FD"/>
    <w:rsid w:val="1F877D37"/>
    <w:rsid w:val="1FA4070B"/>
    <w:rsid w:val="1FE5468E"/>
    <w:rsid w:val="1FE7792E"/>
    <w:rsid w:val="1FF9D921"/>
    <w:rsid w:val="1FFD0004"/>
    <w:rsid w:val="200CEDD4"/>
    <w:rsid w:val="20241FA4"/>
    <w:rsid w:val="20341966"/>
    <w:rsid w:val="203428BB"/>
    <w:rsid w:val="2048EDC5"/>
    <w:rsid w:val="20869798"/>
    <w:rsid w:val="2086A235"/>
    <w:rsid w:val="208846A2"/>
    <w:rsid w:val="20893667"/>
    <w:rsid w:val="208D5BA8"/>
    <w:rsid w:val="208E5A8F"/>
    <w:rsid w:val="209E3DB8"/>
    <w:rsid w:val="20B6A9A5"/>
    <w:rsid w:val="20C5C177"/>
    <w:rsid w:val="20D88926"/>
    <w:rsid w:val="20E9401D"/>
    <w:rsid w:val="2107E554"/>
    <w:rsid w:val="2108DBC5"/>
    <w:rsid w:val="2142F537"/>
    <w:rsid w:val="2147FC9B"/>
    <w:rsid w:val="21570906"/>
    <w:rsid w:val="217CB1BE"/>
    <w:rsid w:val="21813C05"/>
    <w:rsid w:val="21A0B393"/>
    <w:rsid w:val="21BE9BF2"/>
    <w:rsid w:val="21CA6492"/>
    <w:rsid w:val="21F3D5A8"/>
    <w:rsid w:val="21FACA41"/>
    <w:rsid w:val="220D5A1E"/>
    <w:rsid w:val="222A8CD0"/>
    <w:rsid w:val="223D3B8B"/>
    <w:rsid w:val="22445BD8"/>
    <w:rsid w:val="226DD77E"/>
    <w:rsid w:val="2273887C"/>
    <w:rsid w:val="22A6E19C"/>
    <w:rsid w:val="22AEBDB4"/>
    <w:rsid w:val="22B9D609"/>
    <w:rsid w:val="22F6C8B8"/>
    <w:rsid w:val="22F85C29"/>
    <w:rsid w:val="22FD29AE"/>
    <w:rsid w:val="2312DFE9"/>
    <w:rsid w:val="235CBECD"/>
    <w:rsid w:val="23747F5A"/>
    <w:rsid w:val="2384BF0E"/>
    <w:rsid w:val="23C89E58"/>
    <w:rsid w:val="23CF976F"/>
    <w:rsid w:val="23D75D46"/>
    <w:rsid w:val="23DCBFC7"/>
    <w:rsid w:val="23EE75F5"/>
    <w:rsid w:val="24071C44"/>
    <w:rsid w:val="2471B72C"/>
    <w:rsid w:val="247554D6"/>
    <w:rsid w:val="24881DEF"/>
    <w:rsid w:val="2488475D"/>
    <w:rsid w:val="2488DAAE"/>
    <w:rsid w:val="24D07D34"/>
    <w:rsid w:val="2503B3A6"/>
    <w:rsid w:val="25674B98"/>
    <w:rsid w:val="2578218E"/>
    <w:rsid w:val="25B3779A"/>
    <w:rsid w:val="25EA5256"/>
    <w:rsid w:val="26079ACE"/>
    <w:rsid w:val="260E61DB"/>
    <w:rsid w:val="2611F1BA"/>
    <w:rsid w:val="263B9486"/>
    <w:rsid w:val="266BB34C"/>
    <w:rsid w:val="26720327"/>
    <w:rsid w:val="26754437"/>
    <w:rsid w:val="269C27F1"/>
    <w:rsid w:val="26AB0FAD"/>
    <w:rsid w:val="26C228C1"/>
    <w:rsid w:val="26C86E19"/>
    <w:rsid w:val="26EB23EF"/>
    <w:rsid w:val="27289A44"/>
    <w:rsid w:val="272C39D1"/>
    <w:rsid w:val="274B35FA"/>
    <w:rsid w:val="275A756C"/>
    <w:rsid w:val="27617D1A"/>
    <w:rsid w:val="27623DE2"/>
    <w:rsid w:val="2775BDD4"/>
    <w:rsid w:val="27802C66"/>
    <w:rsid w:val="278DAFDF"/>
    <w:rsid w:val="278E4368"/>
    <w:rsid w:val="27908CC8"/>
    <w:rsid w:val="279EE0ED"/>
    <w:rsid w:val="27ADD886"/>
    <w:rsid w:val="27C95942"/>
    <w:rsid w:val="27CB5AE7"/>
    <w:rsid w:val="27D30B8E"/>
    <w:rsid w:val="27DAC191"/>
    <w:rsid w:val="27DEC863"/>
    <w:rsid w:val="27E58322"/>
    <w:rsid w:val="27F997B3"/>
    <w:rsid w:val="27FF2F64"/>
    <w:rsid w:val="28504F1D"/>
    <w:rsid w:val="285C3EA8"/>
    <w:rsid w:val="289777BC"/>
    <w:rsid w:val="28AC7C9D"/>
    <w:rsid w:val="28E913E3"/>
    <w:rsid w:val="28EDAECC"/>
    <w:rsid w:val="290E1A74"/>
    <w:rsid w:val="2921988E"/>
    <w:rsid w:val="29419DD3"/>
    <w:rsid w:val="29445646"/>
    <w:rsid w:val="296AB798"/>
    <w:rsid w:val="2972B460"/>
    <w:rsid w:val="29887CB4"/>
    <w:rsid w:val="29AE243F"/>
    <w:rsid w:val="29CC44BA"/>
    <w:rsid w:val="29D22059"/>
    <w:rsid w:val="29DA704E"/>
    <w:rsid w:val="29E65653"/>
    <w:rsid w:val="29F13038"/>
    <w:rsid w:val="2A0096D8"/>
    <w:rsid w:val="2A08C922"/>
    <w:rsid w:val="2A2AFAB3"/>
    <w:rsid w:val="2A2F4C6D"/>
    <w:rsid w:val="2A3707FA"/>
    <w:rsid w:val="2A375190"/>
    <w:rsid w:val="2A43525D"/>
    <w:rsid w:val="2A67545B"/>
    <w:rsid w:val="2A6E1EAE"/>
    <w:rsid w:val="2A8D2852"/>
    <w:rsid w:val="2AA67297"/>
    <w:rsid w:val="2AAFBC65"/>
    <w:rsid w:val="2AC1608C"/>
    <w:rsid w:val="2ACE62F0"/>
    <w:rsid w:val="2AD2AA96"/>
    <w:rsid w:val="2AE91676"/>
    <w:rsid w:val="2AF764AC"/>
    <w:rsid w:val="2B279D5D"/>
    <w:rsid w:val="2B2ADDB2"/>
    <w:rsid w:val="2B6869DB"/>
    <w:rsid w:val="2B70939C"/>
    <w:rsid w:val="2B786A4A"/>
    <w:rsid w:val="2B9C7A74"/>
    <w:rsid w:val="2BA6A2D2"/>
    <w:rsid w:val="2BFC6D02"/>
    <w:rsid w:val="2C00F72B"/>
    <w:rsid w:val="2C0F526E"/>
    <w:rsid w:val="2C36982B"/>
    <w:rsid w:val="2C3EFBFE"/>
    <w:rsid w:val="2C574FCB"/>
    <w:rsid w:val="2C5F8B80"/>
    <w:rsid w:val="2C731B22"/>
    <w:rsid w:val="2C80627E"/>
    <w:rsid w:val="2C971F51"/>
    <w:rsid w:val="2C975439"/>
    <w:rsid w:val="2CD3DE5F"/>
    <w:rsid w:val="2CE5194F"/>
    <w:rsid w:val="2D2E0D22"/>
    <w:rsid w:val="2D34DAE8"/>
    <w:rsid w:val="2D356059"/>
    <w:rsid w:val="2D39FAC3"/>
    <w:rsid w:val="2D8B3F57"/>
    <w:rsid w:val="2D9D7706"/>
    <w:rsid w:val="2DA57247"/>
    <w:rsid w:val="2DB6C076"/>
    <w:rsid w:val="2DC36CEC"/>
    <w:rsid w:val="2DF56751"/>
    <w:rsid w:val="2DF8B3C8"/>
    <w:rsid w:val="2E9D9982"/>
    <w:rsid w:val="2E9F84D7"/>
    <w:rsid w:val="2EA3BE35"/>
    <w:rsid w:val="2EB39843"/>
    <w:rsid w:val="2F00962E"/>
    <w:rsid w:val="2F14BEDB"/>
    <w:rsid w:val="2F1B07EE"/>
    <w:rsid w:val="2F36700B"/>
    <w:rsid w:val="2F4B6B19"/>
    <w:rsid w:val="2F63CC94"/>
    <w:rsid w:val="2F677810"/>
    <w:rsid w:val="2F7B5977"/>
    <w:rsid w:val="2F8E9CAA"/>
    <w:rsid w:val="2F91FDDB"/>
    <w:rsid w:val="2F99185A"/>
    <w:rsid w:val="2F9E743E"/>
    <w:rsid w:val="2FA48699"/>
    <w:rsid w:val="2FA8FA31"/>
    <w:rsid w:val="2FC35BB4"/>
    <w:rsid w:val="2FE18E9C"/>
    <w:rsid w:val="2FEDCC5D"/>
    <w:rsid w:val="2FF2C723"/>
    <w:rsid w:val="2FFFA3B0"/>
    <w:rsid w:val="30015F0B"/>
    <w:rsid w:val="3020D495"/>
    <w:rsid w:val="30652FBF"/>
    <w:rsid w:val="3068E8D5"/>
    <w:rsid w:val="3075503A"/>
    <w:rsid w:val="307DC5C0"/>
    <w:rsid w:val="30916BB4"/>
    <w:rsid w:val="30A82BAC"/>
    <w:rsid w:val="30E0845B"/>
    <w:rsid w:val="3120262A"/>
    <w:rsid w:val="312580EA"/>
    <w:rsid w:val="3138F840"/>
    <w:rsid w:val="315BB758"/>
    <w:rsid w:val="316DDD26"/>
    <w:rsid w:val="316E19E3"/>
    <w:rsid w:val="31873DC4"/>
    <w:rsid w:val="31BCD940"/>
    <w:rsid w:val="31F14C88"/>
    <w:rsid w:val="31F45C60"/>
    <w:rsid w:val="31F5C199"/>
    <w:rsid w:val="321234EC"/>
    <w:rsid w:val="3214289B"/>
    <w:rsid w:val="3220010E"/>
    <w:rsid w:val="32CD3E1A"/>
    <w:rsid w:val="32D0CBFC"/>
    <w:rsid w:val="32D180F1"/>
    <w:rsid w:val="32D5EBDF"/>
    <w:rsid w:val="32F6EBD0"/>
    <w:rsid w:val="32F82A5C"/>
    <w:rsid w:val="32FD8416"/>
    <w:rsid w:val="32FE81E0"/>
    <w:rsid w:val="33124787"/>
    <w:rsid w:val="331F3F1A"/>
    <w:rsid w:val="332A9982"/>
    <w:rsid w:val="333ADF99"/>
    <w:rsid w:val="335A64DA"/>
    <w:rsid w:val="338739CB"/>
    <w:rsid w:val="33A6913B"/>
    <w:rsid w:val="33A75AB3"/>
    <w:rsid w:val="33AD7AA3"/>
    <w:rsid w:val="33B725AE"/>
    <w:rsid w:val="340E936C"/>
    <w:rsid w:val="3411F98E"/>
    <w:rsid w:val="34181AA3"/>
    <w:rsid w:val="3422EDCC"/>
    <w:rsid w:val="3463C506"/>
    <w:rsid w:val="3482EE14"/>
    <w:rsid w:val="3487E9CF"/>
    <w:rsid w:val="349691E9"/>
    <w:rsid w:val="349DA363"/>
    <w:rsid w:val="34A21EBF"/>
    <w:rsid w:val="34A3632E"/>
    <w:rsid w:val="34AAC1D2"/>
    <w:rsid w:val="34BD8DB0"/>
    <w:rsid w:val="34D21A4B"/>
    <w:rsid w:val="34DEE8F4"/>
    <w:rsid w:val="34E366A5"/>
    <w:rsid w:val="34E3D8C8"/>
    <w:rsid w:val="34EE16C0"/>
    <w:rsid w:val="34EE60CF"/>
    <w:rsid w:val="35068885"/>
    <w:rsid w:val="3508E8D9"/>
    <w:rsid w:val="350B6B3A"/>
    <w:rsid w:val="350D9E4F"/>
    <w:rsid w:val="353E284A"/>
    <w:rsid w:val="355346E4"/>
    <w:rsid w:val="356C9627"/>
    <w:rsid w:val="357EF9F8"/>
    <w:rsid w:val="358B8BF2"/>
    <w:rsid w:val="3592E5CA"/>
    <w:rsid w:val="35B3C156"/>
    <w:rsid w:val="35C48605"/>
    <w:rsid w:val="35CD084B"/>
    <w:rsid w:val="35E0607A"/>
    <w:rsid w:val="35F42C0D"/>
    <w:rsid w:val="3609B5E7"/>
    <w:rsid w:val="3619413C"/>
    <w:rsid w:val="3624A97C"/>
    <w:rsid w:val="36257CB6"/>
    <w:rsid w:val="367A8CBC"/>
    <w:rsid w:val="36B48908"/>
    <w:rsid w:val="36C8064A"/>
    <w:rsid w:val="36DF4B63"/>
    <w:rsid w:val="371B8826"/>
    <w:rsid w:val="3773628E"/>
    <w:rsid w:val="377D344C"/>
    <w:rsid w:val="378D3AB1"/>
    <w:rsid w:val="37B5E10F"/>
    <w:rsid w:val="37DEFE83"/>
    <w:rsid w:val="381ECE67"/>
    <w:rsid w:val="381FBA0D"/>
    <w:rsid w:val="3829C8C4"/>
    <w:rsid w:val="38532F06"/>
    <w:rsid w:val="385D9002"/>
    <w:rsid w:val="38764150"/>
    <w:rsid w:val="38890717"/>
    <w:rsid w:val="38992577"/>
    <w:rsid w:val="389DC47A"/>
    <w:rsid w:val="38B0920C"/>
    <w:rsid w:val="38C65BC9"/>
    <w:rsid w:val="38D4BFD9"/>
    <w:rsid w:val="38D5A752"/>
    <w:rsid w:val="38D70CE7"/>
    <w:rsid w:val="3905F3D0"/>
    <w:rsid w:val="393F0632"/>
    <w:rsid w:val="393FEB0E"/>
    <w:rsid w:val="396B0AFF"/>
    <w:rsid w:val="39A10C91"/>
    <w:rsid w:val="39CF2E52"/>
    <w:rsid w:val="39D750DD"/>
    <w:rsid w:val="39F7A453"/>
    <w:rsid w:val="3A0EED06"/>
    <w:rsid w:val="3A24036B"/>
    <w:rsid w:val="3A2C3DCE"/>
    <w:rsid w:val="3A3AC8C7"/>
    <w:rsid w:val="3A46776A"/>
    <w:rsid w:val="3A65ED3B"/>
    <w:rsid w:val="3A73A9B2"/>
    <w:rsid w:val="3A833DB2"/>
    <w:rsid w:val="3A8DB295"/>
    <w:rsid w:val="3A8DB7D8"/>
    <w:rsid w:val="3AA0016B"/>
    <w:rsid w:val="3AAA806F"/>
    <w:rsid w:val="3AB250F6"/>
    <w:rsid w:val="3AF8D69B"/>
    <w:rsid w:val="3B095495"/>
    <w:rsid w:val="3B36C23E"/>
    <w:rsid w:val="3B5797FE"/>
    <w:rsid w:val="3B5F3B7E"/>
    <w:rsid w:val="3B99A025"/>
    <w:rsid w:val="3BA5FE41"/>
    <w:rsid w:val="3BA96091"/>
    <w:rsid w:val="3BE41B46"/>
    <w:rsid w:val="3C303356"/>
    <w:rsid w:val="3C5A7069"/>
    <w:rsid w:val="3C6F2F22"/>
    <w:rsid w:val="3C81AC85"/>
    <w:rsid w:val="3CB0861E"/>
    <w:rsid w:val="3CDD59AA"/>
    <w:rsid w:val="3CEA5220"/>
    <w:rsid w:val="3D008CEA"/>
    <w:rsid w:val="3D18B96A"/>
    <w:rsid w:val="3D30E459"/>
    <w:rsid w:val="3D444325"/>
    <w:rsid w:val="3D5A955A"/>
    <w:rsid w:val="3D8C534E"/>
    <w:rsid w:val="3DB0B3A5"/>
    <w:rsid w:val="3DE08C68"/>
    <w:rsid w:val="3DEFE5B5"/>
    <w:rsid w:val="3DFCB03C"/>
    <w:rsid w:val="3E02DB8C"/>
    <w:rsid w:val="3E0FE634"/>
    <w:rsid w:val="3E554EB0"/>
    <w:rsid w:val="3E793D02"/>
    <w:rsid w:val="3EA54350"/>
    <w:rsid w:val="3ECF1830"/>
    <w:rsid w:val="3EE09668"/>
    <w:rsid w:val="3EE7160E"/>
    <w:rsid w:val="3EF06E0E"/>
    <w:rsid w:val="3F01A50B"/>
    <w:rsid w:val="3F0521EA"/>
    <w:rsid w:val="3FA0F24C"/>
    <w:rsid w:val="3FA16EDF"/>
    <w:rsid w:val="3FA25015"/>
    <w:rsid w:val="3FB04C12"/>
    <w:rsid w:val="3FBAC5C2"/>
    <w:rsid w:val="3FE95118"/>
    <w:rsid w:val="4001D03D"/>
    <w:rsid w:val="400426D9"/>
    <w:rsid w:val="40158C9B"/>
    <w:rsid w:val="402999F8"/>
    <w:rsid w:val="40528573"/>
    <w:rsid w:val="405A6B77"/>
    <w:rsid w:val="407739C6"/>
    <w:rsid w:val="4089218E"/>
    <w:rsid w:val="40D51233"/>
    <w:rsid w:val="40F9AAE3"/>
    <w:rsid w:val="412324B4"/>
    <w:rsid w:val="41242F29"/>
    <w:rsid w:val="412AC9C9"/>
    <w:rsid w:val="41441DEC"/>
    <w:rsid w:val="41561E3E"/>
    <w:rsid w:val="4156B566"/>
    <w:rsid w:val="41D1A75D"/>
    <w:rsid w:val="41DDF6D4"/>
    <w:rsid w:val="41E6013A"/>
    <w:rsid w:val="4200D9FB"/>
    <w:rsid w:val="421163F9"/>
    <w:rsid w:val="421AA24E"/>
    <w:rsid w:val="421C27E5"/>
    <w:rsid w:val="4287494D"/>
    <w:rsid w:val="42A637A7"/>
    <w:rsid w:val="43144C0A"/>
    <w:rsid w:val="432B01D7"/>
    <w:rsid w:val="434F11A2"/>
    <w:rsid w:val="435408C3"/>
    <w:rsid w:val="43578D43"/>
    <w:rsid w:val="435F4C88"/>
    <w:rsid w:val="435F8AA1"/>
    <w:rsid w:val="4398D345"/>
    <w:rsid w:val="43AC83FA"/>
    <w:rsid w:val="43C68FF6"/>
    <w:rsid w:val="43CFDA98"/>
    <w:rsid w:val="440A8C44"/>
    <w:rsid w:val="4424F8BE"/>
    <w:rsid w:val="442AE0EF"/>
    <w:rsid w:val="4471F561"/>
    <w:rsid w:val="44903F91"/>
    <w:rsid w:val="449AFB5A"/>
    <w:rsid w:val="44B8393E"/>
    <w:rsid w:val="44E5F5F9"/>
    <w:rsid w:val="44E88D34"/>
    <w:rsid w:val="450E89EB"/>
    <w:rsid w:val="4535FE77"/>
    <w:rsid w:val="455B6AF4"/>
    <w:rsid w:val="4561A63D"/>
    <w:rsid w:val="457E871A"/>
    <w:rsid w:val="45889A81"/>
    <w:rsid w:val="459C7924"/>
    <w:rsid w:val="45D3E592"/>
    <w:rsid w:val="45EA18DB"/>
    <w:rsid w:val="45EB3E95"/>
    <w:rsid w:val="45F042CD"/>
    <w:rsid w:val="45F11E24"/>
    <w:rsid w:val="461A03A6"/>
    <w:rsid w:val="4620542D"/>
    <w:rsid w:val="4639AC0B"/>
    <w:rsid w:val="46477B15"/>
    <w:rsid w:val="467F8FBA"/>
    <w:rsid w:val="46FDDDDC"/>
    <w:rsid w:val="471DC2C4"/>
    <w:rsid w:val="471E423B"/>
    <w:rsid w:val="47219E2D"/>
    <w:rsid w:val="473618B8"/>
    <w:rsid w:val="47500A7E"/>
    <w:rsid w:val="47532066"/>
    <w:rsid w:val="4758F4E4"/>
    <w:rsid w:val="475B36E7"/>
    <w:rsid w:val="476CF904"/>
    <w:rsid w:val="47754D25"/>
    <w:rsid w:val="47AE8682"/>
    <w:rsid w:val="47FD2F5B"/>
    <w:rsid w:val="482D0834"/>
    <w:rsid w:val="483C14D4"/>
    <w:rsid w:val="48488B8B"/>
    <w:rsid w:val="4873D88C"/>
    <w:rsid w:val="4875BCF9"/>
    <w:rsid w:val="488CA94D"/>
    <w:rsid w:val="4895D48F"/>
    <w:rsid w:val="48A4102F"/>
    <w:rsid w:val="48BA913E"/>
    <w:rsid w:val="48C4B3DC"/>
    <w:rsid w:val="48EA7DB6"/>
    <w:rsid w:val="48F057B3"/>
    <w:rsid w:val="48F2310E"/>
    <w:rsid w:val="4912560F"/>
    <w:rsid w:val="4923BF4D"/>
    <w:rsid w:val="4938A042"/>
    <w:rsid w:val="495A2ED2"/>
    <w:rsid w:val="495A8BA1"/>
    <w:rsid w:val="4964C6E3"/>
    <w:rsid w:val="496511FF"/>
    <w:rsid w:val="497C955C"/>
    <w:rsid w:val="4999E48D"/>
    <w:rsid w:val="49B362DF"/>
    <w:rsid w:val="49E47F33"/>
    <w:rsid w:val="49ED7222"/>
    <w:rsid w:val="49F19F58"/>
    <w:rsid w:val="49F2E150"/>
    <w:rsid w:val="4A117919"/>
    <w:rsid w:val="4A18116E"/>
    <w:rsid w:val="4A32E94A"/>
    <w:rsid w:val="4A6050F7"/>
    <w:rsid w:val="4A61949D"/>
    <w:rsid w:val="4A6F7220"/>
    <w:rsid w:val="4A798989"/>
    <w:rsid w:val="4AF3828D"/>
    <w:rsid w:val="4AF4CE5D"/>
    <w:rsid w:val="4B16B244"/>
    <w:rsid w:val="4B24F76C"/>
    <w:rsid w:val="4B78A408"/>
    <w:rsid w:val="4B82218B"/>
    <w:rsid w:val="4B99A44F"/>
    <w:rsid w:val="4BA29AE8"/>
    <w:rsid w:val="4BA82F5E"/>
    <w:rsid w:val="4BD5C87D"/>
    <w:rsid w:val="4BF09CC9"/>
    <w:rsid w:val="4BF29306"/>
    <w:rsid w:val="4C12F008"/>
    <w:rsid w:val="4C3684E6"/>
    <w:rsid w:val="4C4D08BA"/>
    <w:rsid w:val="4C50C146"/>
    <w:rsid w:val="4C63B25C"/>
    <w:rsid w:val="4C714AB9"/>
    <w:rsid w:val="4C7ECD12"/>
    <w:rsid w:val="4C840E4C"/>
    <w:rsid w:val="4CA379FC"/>
    <w:rsid w:val="4CB5D201"/>
    <w:rsid w:val="4CD44D03"/>
    <w:rsid w:val="4D2F83F6"/>
    <w:rsid w:val="4D350297"/>
    <w:rsid w:val="4D55B6CB"/>
    <w:rsid w:val="4D835AEB"/>
    <w:rsid w:val="4D9711FD"/>
    <w:rsid w:val="4D9B9C1A"/>
    <w:rsid w:val="4DBB0A40"/>
    <w:rsid w:val="4DC2BDE8"/>
    <w:rsid w:val="4DCB1D92"/>
    <w:rsid w:val="4DD98EF0"/>
    <w:rsid w:val="4DF1F953"/>
    <w:rsid w:val="4DF6AFB5"/>
    <w:rsid w:val="4E3D73C7"/>
    <w:rsid w:val="4E6DE865"/>
    <w:rsid w:val="4E8BEF7A"/>
    <w:rsid w:val="4EAC8C58"/>
    <w:rsid w:val="4EB2330F"/>
    <w:rsid w:val="4ED7BC3F"/>
    <w:rsid w:val="4F0E3292"/>
    <w:rsid w:val="4F0ECC97"/>
    <w:rsid w:val="4F4E88D2"/>
    <w:rsid w:val="4F6C1814"/>
    <w:rsid w:val="4F6D0AA6"/>
    <w:rsid w:val="4F98938D"/>
    <w:rsid w:val="4FA128FF"/>
    <w:rsid w:val="4FAA9422"/>
    <w:rsid w:val="4FD485CF"/>
    <w:rsid w:val="4FDD740C"/>
    <w:rsid w:val="4FF57682"/>
    <w:rsid w:val="50090D40"/>
    <w:rsid w:val="501201D2"/>
    <w:rsid w:val="5022F15B"/>
    <w:rsid w:val="50331ADA"/>
    <w:rsid w:val="507F5796"/>
    <w:rsid w:val="508DBAB9"/>
    <w:rsid w:val="50962523"/>
    <w:rsid w:val="50F31E42"/>
    <w:rsid w:val="50F96D4C"/>
    <w:rsid w:val="510B6A65"/>
    <w:rsid w:val="518F2535"/>
    <w:rsid w:val="51B1A443"/>
    <w:rsid w:val="51D0496D"/>
    <w:rsid w:val="51DC2342"/>
    <w:rsid w:val="51DD155B"/>
    <w:rsid w:val="51E69977"/>
    <w:rsid w:val="51F580FA"/>
    <w:rsid w:val="5204C50F"/>
    <w:rsid w:val="521EF77D"/>
    <w:rsid w:val="5223B360"/>
    <w:rsid w:val="522CCE6A"/>
    <w:rsid w:val="527D5A64"/>
    <w:rsid w:val="52813977"/>
    <w:rsid w:val="5294BC96"/>
    <w:rsid w:val="52A27F0C"/>
    <w:rsid w:val="52A9A0FD"/>
    <w:rsid w:val="52AE5EBE"/>
    <w:rsid w:val="52C10B67"/>
    <w:rsid w:val="52D3CACB"/>
    <w:rsid w:val="52E9C4B2"/>
    <w:rsid w:val="532B6F62"/>
    <w:rsid w:val="532FBFDE"/>
    <w:rsid w:val="53309021"/>
    <w:rsid w:val="5351878E"/>
    <w:rsid w:val="5354B6E2"/>
    <w:rsid w:val="536788AD"/>
    <w:rsid w:val="53712A4D"/>
    <w:rsid w:val="53A7A3D9"/>
    <w:rsid w:val="544D6352"/>
    <w:rsid w:val="545B3F4E"/>
    <w:rsid w:val="54B86700"/>
    <w:rsid w:val="54CB808C"/>
    <w:rsid w:val="54CED847"/>
    <w:rsid w:val="54D745B5"/>
    <w:rsid w:val="5574D72B"/>
    <w:rsid w:val="557E1A9D"/>
    <w:rsid w:val="5581F1B0"/>
    <w:rsid w:val="55DFA378"/>
    <w:rsid w:val="55EBC7F1"/>
    <w:rsid w:val="560238D3"/>
    <w:rsid w:val="56362DBB"/>
    <w:rsid w:val="5656E26A"/>
    <w:rsid w:val="5661FF07"/>
    <w:rsid w:val="567BD2F4"/>
    <w:rsid w:val="569DC434"/>
    <w:rsid w:val="56BACEC7"/>
    <w:rsid w:val="56E478D8"/>
    <w:rsid w:val="573DE8DC"/>
    <w:rsid w:val="5754D30D"/>
    <w:rsid w:val="5766087E"/>
    <w:rsid w:val="5773E241"/>
    <w:rsid w:val="5776778B"/>
    <w:rsid w:val="5785C4D6"/>
    <w:rsid w:val="578B2A6B"/>
    <w:rsid w:val="578C0747"/>
    <w:rsid w:val="57966590"/>
    <w:rsid w:val="57F27A0E"/>
    <w:rsid w:val="581CAA93"/>
    <w:rsid w:val="5866AE94"/>
    <w:rsid w:val="588D4C0E"/>
    <w:rsid w:val="5899C30F"/>
    <w:rsid w:val="58C230E1"/>
    <w:rsid w:val="58C311D1"/>
    <w:rsid w:val="58CE7271"/>
    <w:rsid w:val="58EA9422"/>
    <w:rsid w:val="5915929F"/>
    <w:rsid w:val="59390511"/>
    <w:rsid w:val="5971D1D0"/>
    <w:rsid w:val="597A4AB4"/>
    <w:rsid w:val="59A6084E"/>
    <w:rsid w:val="59C08E44"/>
    <w:rsid w:val="59CF5F1D"/>
    <w:rsid w:val="59EA9FFB"/>
    <w:rsid w:val="5A1F153F"/>
    <w:rsid w:val="5A9A4A8A"/>
    <w:rsid w:val="5AAB6417"/>
    <w:rsid w:val="5ABE3A50"/>
    <w:rsid w:val="5AC01138"/>
    <w:rsid w:val="5ADBA557"/>
    <w:rsid w:val="5AF20C11"/>
    <w:rsid w:val="5B024E5B"/>
    <w:rsid w:val="5B17E4AD"/>
    <w:rsid w:val="5B3C5A78"/>
    <w:rsid w:val="5B730072"/>
    <w:rsid w:val="5B7D28A0"/>
    <w:rsid w:val="5BAD5D7B"/>
    <w:rsid w:val="5BAE796F"/>
    <w:rsid w:val="5BD823F6"/>
    <w:rsid w:val="5BEAE844"/>
    <w:rsid w:val="5C39AE8F"/>
    <w:rsid w:val="5C85469C"/>
    <w:rsid w:val="5C86FE99"/>
    <w:rsid w:val="5C91DD4B"/>
    <w:rsid w:val="5CA3F883"/>
    <w:rsid w:val="5CC61A91"/>
    <w:rsid w:val="5CDED922"/>
    <w:rsid w:val="5CF81DF7"/>
    <w:rsid w:val="5D08DC63"/>
    <w:rsid w:val="5D28322D"/>
    <w:rsid w:val="5D3FC395"/>
    <w:rsid w:val="5D629526"/>
    <w:rsid w:val="5D75D643"/>
    <w:rsid w:val="5D9B67C6"/>
    <w:rsid w:val="5DBD6CBD"/>
    <w:rsid w:val="5DBF42F7"/>
    <w:rsid w:val="5DEC9169"/>
    <w:rsid w:val="5E252860"/>
    <w:rsid w:val="5E2CD819"/>
    <w:rsid w:val="5E3803E6"/>
    <w:rsid w:val="5E5D33B1"/>
    <w:rsid w:val="5E9FCF90"/>
    <w:rsid w:val="5ED99788"/>
    <w:rsid w:val="5EDB5752"/>
    <w:rsid w:val="5EE3717A"/>
    <w:rsid w:val="5EE54CDB"/>
    <w:rsid w:val="5EEB7D57"/>
    <w:rsid w:val="5EF13657"/>
    <w:rsid w:val="5EF45CB4"/>
    <w:rsid w:val="5F62714D"/>
    <w:rsid w:val="5F66E2BC"/>
    <w:rsid w:val="5F751362"/>
    <w:rsid w:val="5F8D3CAB"/>
    <w:rsid w:val="5F9F7789"/>
    <w:rsid w:val="5FC039C3"/>
    <w:rsid w:val="5FE33A58"/>
    <w:rsid w:val="5FEA3ED8"/>
    <w:rsid w:val="601A2288"/>
    <w:rsid w:val="60203C24"/>
    <w:rsid w:val="6060C0D1"/>
    <w:rsid w:val="606C7246"/>
    <w:rsid w:val="606E0B81"/>
    <w:rsid w:val="60A0A692"/>
    <w:rsid w:val="60A74E57"/>
    <w:rsid w:val="60B6F14E"/>
    <w:rsid w:val="60EEF992"/>
    <w:rsid w:val="6112DB1B"/>
    <w:rsid w:val="6143B31D"/>
    <w:rsid w:val="61600E76"/>
    <w:rsid w:val="6162F1D0"/>
    <w:rsid w:val="618FE935"/>
    <w:rsid w:val="61D29A2D"/>
    <w:rsid w:val="61D98701"/>
    <w:rsid w:val="62019FE9"/>
    <w:rsid w:val="6223C20D"/>
    <w:rsid w:val="6257D997"/>
    <w:rsid w:val="6277D8A1"/>
    <w:rsid w:val="628FB017"/>
    <w:rsid w:val="62B0CD87"/>
    <w:rsid w:val="62F930F2"/>
    <w:rsid w:val="631FE8A6"/>
    <w:rsid w:val="6333DAAA"/>
    <w:rsid w:val="634C7D88"/>
    <w:rsid w:val="6369DE4F"/>
    <w:rsid w:val="63726D07"/>
    <w:rsid w:val="6395A2C4"/>
    <w:rsid w:val="63A9F926"/>
    <w:rsid w:val="63B9DEE0"/>
    <w:rsid w:val="63C28F12"/>
    <w:rsid w:val="63CDB6DC"/>
    <w:rsid w:val="63E4E498"/>
    <w:rsid w:val="64063BAF"/>
    <w:rsid w:val="642905C7"/>
    <w:rsid w:val="64319E05"/>
    <w:rsid w:val="645BD675"/>
    <w:rsid w:val="6465FE85"/>
    <w:rsid w:val="64D304C4"/>
    <w:rsid w:val="64DA3791"/>
    <w:rsid w:val="64F2CC2E"/>
    <w:rsid w:val="652DD1CC"/>
    <w:rsid w:val="65494B88"/>
    <w:rsid w:val="6564E330"/>
    <w:rsid w:val="65F476A7"/>
    <w:rsid w:val="65F8BFE4"/>
    <w:rsid w:val="65FD6798"/>
    <w:rsid w:val="66057502"/>
    <w:rsid w:val="66204E96"/>
    <w:rsid w:val="6620FD03"/>
    <w:rsid w:val="662814D9"/>
    <w:rsid w:val="6645D85C"/>
    <w:rsid w:val="6647F78E"/>
    <w:rsid w:val="66482771"/>
    <w:rsid w:val="664D7CE2"/>
    <w:rsid w:val="665A2664"/>
    <w:rsid w:val="66CF9EE0"/>
    <w:rsid w:val="66E080EA"/>
    <w:rsid w:val="66F5BA9F"/>
    <w:rsid w:val="67187E6F"/>
    <w:rsid w:val="674BF2AD"/>
    <w:rsid w:val="674DD84C"/>
    <w:rsid w:val="676AE7EC"/>
    <w:rsid w:val="67736C48"/>
    <w:rsid w:val="67904727"/>
    <w:rsid w:val="6796EBBD"/>
    <w:rsid w:val="67BB4EF8"/>
    <w:rsid w:val="67C06563"/>
    <w:rsid w:val="67C8D0F7"/>
    <w:rsid w:val="67F29017"/>
    <w:rsid w:val="6829429A"/>
    <w:rsid w:val="682E5254"/>
    <w:rsid w:val="68499A4C"/>
    <w:rsid w:val="6849F3A1"/>
    <w:rsid w:val="686EA12F"/>
    <w:rsid w:val="68A2CD12"/>
    <w:rsid w:val="68A4274E"/>
    <w:rsid w:val="68A59E78"/>
    <w:rsid w:val="68AAD724"/>
    <w:rsid w:val="68B9AFBD"/>
    <w:rsid w:val="68E9D5A0"/>
    <w:rsid w:val="68FCC154"/>
    <w:rsid w:val="68FF2200"/>
    <w:rsid w:val="692BB204"/>
    <w:rsid w:val="6942DDB3"/>
    <w:rsid w:val="69538C54"/>
    <w:rsid w:val="697F05B9"/>
    <w:rsid w:val="6982787F"/>
    <w:rsid w:val="699E11E6"/>
    <w:rsid w:val="699F7757"/>
    <w:rsid w:val="69AAE0C8"/>
    <w:rsid w:val="69AD100A"/>
    <w:rsid w:val="69C471E6"/>
    <w:rsid w:val="69D18623"/>
    <w:rsid w:val="69E1B46C"/>
    <w:rsid w:val="6A0EAB0D"/>
    <w:rsid w:val="6A580D92"/>
    <w:rsid w:val="6A596A9E"/>
    <w:rsid w:val="6A79B9DB"/>
    <w:rsid w:val="6A90CD22"/>
    <w:rsid w:val="6A985FB3"/>
    <w:rsid w:val="6AC17D4B"/>
    <w:rsid w:val="6AD3D413"/>
    <w:rsid w:val="6AFA0AD2"/>
    <w:rsid w:val="6B2050BD"/>
    <w:rsid w:val="6B20D365"/>
    <w:rsid w:val="6B4E8505"/>
    <w:rsid w:val="6B6C7B89"/>
    <w:rsid w:val="6B75270F"/>
    <w:rsid w:val="6B884109"/>
    <w:rsid w:val="6BAA3074"/>
    <w:rsid w:val="6BC72DAE"/>
    <w:rsid w:val="6BEA0E0C"/>
    <w:rsid w:val="6BEE317D"/>
    <w:rsid w:val="6C027D9C"/>
    <w:rsid w:val="6C1C26EC"/>
    <w:rsid w:val="6C380F96"/>
    <w:rsid w:val="6C48DFE1"/>
    <w:rsid w:val="6C5EB44D"/>
    <w:rsid w:val="6C600852"/>
    <w:rsid w:val="6C850072"/>
    <w:rsid w:val="6CF63F8A"/>
    <w:rsid w:val="6D361D20"/>
    <w:rsid w:val="6D497A80"/>
    <w:rsid w:val="6D9A76D1"/>
    <w:rsid w:val="6DAF69AE"/>
    <w:rsid w:val="6DE99B03"/>
    <w:rsid w:val="6DEF11E0"/>
    <w:rsid w:val="6DFFD2DE"/>
    <w:rsid w:val="6E03EE0F"/>
    <w:rsid w:val="6E097405"/>
    <w:rsid w:val="6E2B148D"/>
    <w:rsid w:val="6E32F9C1"/>
    <w:rsid w:val="6E85C34B"/>
    <w:rsid w:val="6E895C2C"/>
    <w:rsid w:val="6E8B322F"/>
    <w:rsid w:val="6EBEC4DE"/>
    <w:rsid w:val="6ED5C507"/>
    <w:rsid w:val="6ED8C2F3"/>
    <w:rsid w:val="6F25FCA3"/>
    <w:rsid w:val="6F4CC250"/>
    <w:rsid w:val="6F790099"/>
    <w:rsid w:val="6F7C0AB6"/>
    <w:rsid w:val="6F858664"/>
    <w:rsid w:val="6F860D51"/>
    <w:rsid w:val="6F92879A"/>
    <w:rsid w:val="6F983272"/>
    <w:rsid w:val="6FB7C6BB"/>
    <w:rsid w:val="6FBC722A"/>
    <w:rsid w:val="6FCD933F"/>
    <w:rsid w:val="6FD2822C"/>
    <w:rsid w:val="6FD5B5B1"/>
    <w:rsid w:val="6FE5A207"/>
    <w:rsid w:val="7018F764"/>
    <w:rsid w:val="7020E4E5"/>
    <w:rsid w:val="7029926F"/>
    <w:rsid w:val="70698978"/>
    <w:rsid w:val="70991241"/>
    <w:rsid w:val="7099CA96"/>
    <w:rsid w:val="709D20E3"/>
    <w:rsid w:val="70B843D6"/>
    <w:rsid w:val="70E63772"/>
    <w:rsid w:val="71040F46"/>
    <w:rsid w:val="710A65C4"/>
    <w:rsid w:val="71186E78"/>
    <w:rsid w:val="7118DEB6"/>
    <w:rsid w:val="712050AF"/>
    <w:rsid w:val="71238330"/>
    <w:rsid w:val="718D504E"/>
    <w:rsid w:val="71E7B64B"/>
    <w:rsid w:val="7232E0CF"/>
    <w:rsid w:val="723754D5"/>
    <w:rsid w:val="72491804"/>
    <w:rsid w:val="725B1196"/>
    <w:rsid w:val="727375CD"/>
    <w:rsid w:val="727B44A1"/>
    <w:rsid w:val="727F7296"/>
    <w:rsid w:val="728A8600"/>
    <w:rsid w:val="728DC915"/>
    <w:rsid w:val="72A89FAD"/>
    <w:rsid w:val="72A9F6DA"/>
    <w:rsid w:val="732E0CCC"/>
    <w:rsid w:val="7371EF58"/>
    <w:rsid w:val="7372DA3A"/>
    <w:rsid w:val="737EB12B"/>
    <w:rsid w:val="738EFA71"/>
    <w:rsid w:val="738F47E1"/>
    <w:rsid w:val="7391DDE5"/>
    <w:rsid w:val="73B3EC32"/>
    <w:rsid w:val="73D53DC9"/>
    <w:rsid w:val="74015D2C"/>
    <w:rsid w:val="7417FF49"/>
    <w:rsid w:val="7432A57F"/>
    <w:rsid w:val="74453B83"/>
    <w:rsid w:val="74710792"/>
    <w:rsid w:val="74949437"/>
    <w:rsid w:val="749A08BF"/>
    <w:rsid w:val="749AFAF9"/>
    <w:rsid w:val="749E192D"/>
    <w:rsid w:val="74A9D88C"/>
    <w:rsid w:val="74AE09FE"/>
    <w:rsid w:val="74C37CE2"/>
    <w:rsid w:val="74D33E82"/>
    <w:rsid w:val="74EF9375"/>
    <w:rsid w:val="7512DEC3"/>
    <w:rsid w:val="7532E6D3"/>
    <w:rsid w:val="75527FF3"/>
    <w:rsid w:val="75A5BF3B"/>
    <w:rsid w:val="75BF4023"/>
    <w:rsid w:val="7613CB79"/>
    <w:rsid w:val="761A96DE"/>
    <w:rsid w:val="761D9120"/>
    <w:rsid w:val="762A74B9"/>
    <w:rsid w:val="762B0D9C"/>
    <w:rsid w:val="7646D765"/>
    <w:rsid w:val="768C6216"/>
    <w:rsid w:val="7694D177"/>
    <w:rsid w:val="76B1BA8C"/>
    <w:rsid w:val="76C4B176"/>
    <w:rsid w:val="76E1A5AC"/>
    <w:rsid w:val="76E582CD"/>
    <w:rsid w:val="76F3BE4F"/>
    <w:rsid w:val="76F91AC3"/>
    <w:rsid w:val="77082B01"/>
    <w:rsid w:val="771DE87A"/>
    <w:rsid w:val="773A9C05"/>
    <w:rsid w:val="77412DD0"/>
    <w:rsid w:val="774B4D54"/>
    <w:rsid w:val="774B7858"/>
    <w:rsid w:val="776DC084"/>
    <w:rsid w:val="779A7C84"/>
    <w:rsid w:val="77A55A39"/>
    <w:rsid w:val="77C012A0"/>
    <w:rsid w:val="77C9F07C"/>
    <w:rsid w:val="77DEE513"/>
    <w:rsid w:val="78013163"/>
    <w:rsid w:val="7837B67F"/>
    <w:rsid w:val="784462BE"/>
    <w:rsid w:val="7862463B"/>
    <w:rsid w:val="78666C92"/>
    <w:rsid w:val="78756FB9"/>
    <w:rsid w:val="7886C09A"/>
    <w:rsid w:val="788E1A18"/>
    <w:rsid w:val="7896DFAC"/>
    <w:rsid w:val="78A13DBC"/>
    <w:rsid w:val="78C539FD"/>
    <w:rsid w:val="79020E0E"/>
    <w:rsid w:val="79A102A5"/>
    <w:rsid w:val="79C0A5D5"/>
    <w:rsid w:val="79C9B2C8"/>
    <w:rsid w:val="79E40984"/>
    <w:rsid w:val="7A017B53"/>
    <w:rsid w:val="7A0CE19B"/>
    <w:rsid w:val="7A16A172"/>
    <w:rsid w:val="7A50B0C0"/>
    <w:rsid w:val="7A59CBB2"/>
    <w:rsid w:val="7A77FD39"/>
    <w:rsid w:val="7A882FA4"/>
    <w:rsid w:val="7AB5B28E"/>
    <w:rsid w:val="7ABA7DC0"/>
    <w:rsid w:val="7AFF4978"/>
    <w:rsid w:val="7B446E35"/>
    <w:rsid w:val="7B4605CD"/>
    <w:rsid w:val="7B7699EA"/>
    <w:rsid w:val="7B866E3D"/>
    <w:rsid w:val="7BBD684F"/>
    <w:rsid w:val="7BC06794"/>
    <w:rsid w:val="7BC3D8CC"/>
    <w:rsid w:val="7BD19E78"/>
    <w:rsid w:val="7BDB2899"/>
    <w:rsid w:val="7BE12CF8"/>
    <w:rsid w:val="7BF64787"/>
    <w:rsid w:val="7C034748"/>
    <w:rsid w:val="7C0E21EC"/>
    <w:rsid w:val="7C2C6372"/>
    <w:rsid w:val="7C31CEBC"/>
    <w:rsid w:val="7C342AA2"/>
    <w:rsid w:val="7C38E9A3"/>
    <w:rsid w:val="7C4E404F"/>
    <w:rsid w:val="7C5BE638"/>
    <w:rsid w:val="7C5C25BB"/>
    <w:rsid w:val="7C835623"/>
    <w:rsid w:val="7C83D10F"/>
    <w:rsid w:val="7CA36DC6"/>
    <w:rsid w:val="7CB3AF81"/>
    <w:rsid w:val="7CBB25FB"/>
    <w:rsid w:val="7CCB9741"/>
    <w:rsid w:val="7CF73B22"/>
    <w:rsid w:val="7D1D5AE4"/>
    <w:rsid w:val="7D3E8167"/>
    <w:rsid w:val="7D722379"/>
    <w:rsid w:val="7D7DF1F2"/>
    <w:rsid w:val="7DA15CF0"/>
    <w:rsid w:val="7DA9306C"/>
    <w:rsid w:val="7DD7C159"/>
    <w:rsid w:val="7DF5396F"/>
    <w:rsid w:val="7DFE2A9E"/>
    <w:rsid w:val="7E0122A4"/>
    <w:rsid w:val="7E12C49D"/>
    <w:rsid w:val="7E1CE609"/>
    <w:rsid w:val="7E25D91E"/>
    <w:rsid w:val="7E29FD13"/>
    <w:rsid w:val="7E4EEB06"/>
    <w:rsid w:val="7E68BA92"/>
    <w:rsid w:val="7ED03F42"/>
    <w:rsid w:val="7EF501D7"/>
    <w:rsid w:val="7EF73087"/>
    <w:rsid w:val="7F1AD1C4"/>
    <w:rsid w:val="7F29AC20"/>
    <w:rsid w:val="7F42845B"/>
    <w:rsid w:val="7FBDCE6D"/>
    <w:rsid w:val="7FC42C7F"/>
    <w:rsid w:val="7FC921D4"/>
    <w:rsid w:val="7FCB01D1"/>
    <w:rsid w:val="7FD0BA78"/>
    <w:rsid w:val="7FDBB105"/>
    <w:rsid w:val="7FF707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0587"/>
  <w15:chartTrackingRefBased/>
  <w15:docId w15:val="{1E11EC3B-FD26-48FE-9826-E2C984AF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A1"/>
  </w:style>
  <w:style w:type="paragraph" w:styleId="Heading1">
    <w:name w:val="heading 1"/>
    <w:basedOn w:val="Normal"/>
    <w:next w:val="Normal"/>
    <w:link w:val="Heading1Char"/>
    <w:uiPriority w:val="9"/>
    <w:qFormat/>
    <w:rsid w:val="00D346A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346A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46A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46A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46A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46A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46A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46A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46A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6A1"/>
    <w:rPr>
      <w:caps/>
      <w:color w:val="FFFFFF" w:themeColor="background1"/>
      <w:spacing w:val="15"/>
      <w:sz w:val="22"/>
      <w:szCs w:val="22"/>
      <w:shd w:val="clear" w:color="auto" w:fill="4472C4" w:themeFill="accent1"/>
    </w:rPr>
  </w:style>
  <w:style w:type="paragraph" w:styleId="NoSpacing">
    <w:name w:val="No Spacing"/>
    <w:uiPriority w:val="1"/>
    <w:qFormat/>
    <w:rsid w:val="00D346A1"/>
    <w:pPr>
      <w:spacing w:after="0" w:line="240" w:lineRule="auto"/>
    </w:pPr>
  </w:style>
  <w:style w:type="paragraph" w:styleId="ListParagraph">
    <w:name w:val="List Paragraph"/>
    <w:basedOn w:val="Normal"/>
    <w:uiPriority w:val="34"/>
    <w:qFormat/>
    <w:rsid w:val="004205BA"/>
    <w:pPr>
      <w:ind w:left="720"/>
      <w:contextualSpacing/>
    </w:pPr>
  </w:style>
  <w:style w:type="character" w:customStyle="1" w:styleId="ProcessBulletChar">
    <w:name w:val="Process Bullet Char"/>
    <w:basedOn w:val="DefaultParagraphFont"/>
    <w:link w:val="ProcessBullet"/>
    <w:locked/>
    <w:rsid w:val="004205BA"/>
    <w:rPr>
      <w:rFonts w:ascii="Arial" w:hAnsi="Arial" w:cs="Arial"/>
      <w:sz w:val="21"/>
      <w:szCs w:val="21"/>
    </w:rPr>
  </w:style>
  <w:style w:type="paragraph" w:customStyle="1" w:styleId="ProcessBullet">
    <w:name w:val="Process Bullet"/>
    <w:basedOn w:val="Normal"/>
    <w:link w:val="ProcessBulletChar"/>
    <w:rsid w:val="004205BA"/>
    <w:pPr>
      <w:numPr>
        <w:numId w:val="1"/>
      </w:numPr>
      <w:spacing w:before="80" w:after="0" w:line="240" w:lineRule="auto"/>
    </w:pPr>
    <w:rPr>
      <w:rFonts w:ascii="Arial" w:hAnsi="Arial" w:cs="Arial"/>
      <w:sz w:val="21"/>
      <w:szCs w:val="21"/>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2516"/>
    <w:pPr>
      <w:spacing w:after="0" w:line="240" w:lineRule="auto"/>
    </w:pPr>
  </w:style>
  <w:style w:type="paragraph" w:styleId="CommentSubject">
    <w:name w:val="annotation subject"/>
    <w:basedOn w:val="CommentText"/>
    <w:next w:val="CommentText"/>
    <w:link w:val="CommentSubjectChar"/>
    <w:uiPriority w:val="99"/>
    <w:semiHidden/>
    <w:unhideWhenUsed/>
    <w:rsid w:val="00AB6DB3"/>
    <w:rPr>
      <w:b/>
      <w:bCs/>
    </w:rPr>
  </w:style>
  <w:style w:type="character" w:customStyle="1" w:styleId="CommentSubjectChar">
    <w:name w:val="Comment Subject Char"/>
    <w:basedOn w:val="CommentTextChar"/>
    <w:link w:val="CommentSubject"/>
    <w:uiPriority w:val="99"/>
    <w:semiHidden/>
    <w:rsid w:val="00AB6DB3"/>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style>
  <w:style w:type="character" w:styleId="Hyperlink">
    <w:name w:val="Hyperlink"/>
    <w:basedOn w:val="DefaultParagraphFont"/>
    <w:uiPriority w:val="99"/>
    <w:unhideWhenUsed/>
    <w:rsid w:val="00472A76"/>
    <w:rPr>
      <w:color w:val="0563C1" w:themeColor="hyperlink"/>
      <w:u w:val="single"/>
    </w:rPr>
  </w:style>
  <w:style w:type="character" w:styleId="UnresolvedMention">
    <w:name w:val="Unresolved Mention"/>
    <w:basedOn w:val="DefaultParagraphFont"/>
    <w:uiPriority w:val="99"/>
    <w:semiHidden/>
    <w:unhideWhenUsed/>
    <w:rsid w:val="00472A76"/>
    <w:rPr>
      <w:color w:val="605E5C"/>
      <w:shd w:val="clear" w:color="auto" w:fill="E1DFDD"/>
    </w:rPr>
  </w:style>
  <w:style w:type="character" w:customStyle="1" w:styleId="Heading2Char">
    <w:name w:val="Heading 2 Char"/>
    <w:basedOn w:val="DefaultParagraphFont"/>
    <w:link w:val="Heading2"/>
    <w:uiPriority w:val="9"/>
    <w:rsid w:val="00D346A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46A1"/>
    <w:rPr>
      <w:caps/>
      <w:color w:val="1F3763" w:themeColor="accent1" w:themeShade="7F"/>
      <w:spacing w:val="15"/>
    </w:rPr>
  </w:style>
  <w:style w:type="character" w:customStyle="1" w:styleId="Heading4Char">
    <w:name w:val="Heading 4 Char"/>
    <w:basedOn w:val="DefaultParagraphFont"/>
    <w:link w:val="Heading4"/>
    <w:uiPriority w:val="9"/>
    <w:semiHidden/>
    <w:rsid w:val="00D346A1"/>
    <w:rPr>
      <w:caps/>
      <w:color w:val="2F5496" w:themeColor="accent1" w:themeShade="BF"/>
      <w:spacing w:val="10"/>
    </w:rPr>
  </w:style>
  <w:style w:type="character" w:customStyle="1" w:styleId="Heading5Char">
    <w:name w:val="Heading 5 Char"/>
    <w:basedOn w:val="DefaultParagraphFont"/>
    <w:link w:val="Heading5"/>
    <w:uiPriority w:val="9"/>
    <w:semiHidden/>
    <w:rsid w:val="00D346A1"/>
    <w:rPr>
      <w:caps/>
      <w:color w:val="2F5496" w:themeColor="accent1" w:themeShade="BF"/>
      <w:spacing w:val="10"/>
    </w:rPr>
  </w:style>
  <w:style w:type="character" w:customStyle="1" w:styleId="Heading6Char">
    <w:name w:val="Heading 6 Char"/>
    <w:basedOn w:val="DefaultParagraphFont"/>
    <w:link w:val="Heading6"/>
    <w:uiPriority w:val="9"/>
    <w:semiHidden/>
    <w:rsid w:val="00D346A1"/>
    <w:rPr>
      <w:caps/>
      <w:color w:val="2F5496" w:themeColor="accent1" w:themeShade="BF"/>
      <w:spacing w:val="10"/>
    </w:rPr>
  </w:style>
  <w:style w:type="character" w:customStyle="1" w:styleId="Heading7Char">
    <w:name w:val="Heading 7 Char"/>
    <w:basedOn w:val="DefaultParagraphFont"/>
    <w:link w:val="Heading7"/>
    <w:uiPriority w:val="9"/>
    <w:semiHidden/>
    <w:rsid w:val="00D346A1"/>
    <w:rPr>
      <w:caps/>
      <w:color w:val="2F5496" w:themeColor="accent1" w:themeShade="BF"/>
      <w:spacing w:val="10"/>
    </w:rPr>
  </w:style>
  <w:style w:type="character" w:customStyle="1" w:styleId="Heading8Char">
    <w:name w:val="Heading 8 Char"/>
    <w:basedOn w:val="DefaultParagraphFont"/>
    <w:link w:val="Heading8"/>
    <w:uiPriority w:val="9"/>
    <w:semiHidden/>
    <w:rsid w:val="00D346A1"/>
    <w:rPr>
      <w:caps/>
      <w:spacing w:val="10"/>
      <w:sz w:val="18"/>
      <w:szCs w:val="18"/>
    </w:rPr>
  </w:style>
  <w:style w:type="character" w:customStyle="1" w:styleId="Heading9Char">
    <w:name w:val="Heading 9 Char"/>
    <w:basedOn w:val="DefaultParagraphFont"/>
    <w:link w:val="Heading9"/>
    <w:uiPriority w:val="9"/>
    <w:semiHidden/>
    <w:rsid w:val="00D346A1"/>
    <w:rPr>
      <w:i/>
      <w:iCs/>
      <w:caps/>
      <w:spacing w:val="10"/>
      <w:sz w:val="18"/>
      <w:szCs w:val="18"/>
    </w:rPr>
  </w:style>
  <w:style w:type="paragraph" w:styleId="Caption">
    <w:name w:val="caption"/>
    <w:basedOn w:val="Normal"/>
    <w:next w:val="Normal"/>
    <w:uiPriority w:val="35"/>
    <w:semiHidden/>
    <w:unhideWhenUsed/>
    <w:qFormat/>
    <w:rsid w:val="00D346A1"/>
    <w:rPr>
      <w:b/>
      <w:bCs/>
      <w:color w:val="2F5496" w:themeColor="accent1" w:themeShade="BF"/>
      <w:sz w:val="16"/>
      <w:szCs w:val="16"/>
    </w:rPr>
  </w:style>
  <w:style w:type="paragraph" w:styleId="Title">
    <w:name w:val="Title"/>
    <w:basedOn w:val="Normal"/>
    <w:next w:val="Normal"/>
    <w:link w:val="TitleChar"/>
    <w:uiPriority w:val="10"/>
    <w:qFormat/>
    <w:rsid w:val="00D346A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46A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46A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46A1"/>
    <w:rPr>
      <w:caps/>
      <w:color w:val="595959" w:themeColor="text1" w:themeTint="A6"/>
      <w:spacing w:val="10"/>
      <w:sz w:val="21"/>
      <w:szCs w:val="21"/>
    </w:rPr>
  </w:style>
  <w:style w:type="character" w:styleId="Strong">
    <w:name w:val="Strong"/>
    <w:uiPriority w:val="22"/>
    <w:qFormat/>
    <w:rsid w:val="00D346A1"/>
    <w:rPr>
      <w:b/>
      <w:bCs/>
    </w:rPr>
  </w:style>
  <w:style w:type="character" w:styleId="Emphasis">
    <w:name w:val="Emphasis"/>
    <w:uiPriority w:val="20"/>
    <w:qFormat/>
    <w:rsid w:val="00D346A1"/>
    <w:rPr>
      <w:caps/>
      <w:color w:val="1F3763" w:themeColor="accent1" w:themeShade="7F"/>
      <w:spacing w:val="5"/>
    </w:rPr>
  </w:style>
  <w:style w:type="paragraph" w:styleId="Quote">
    <w:name w:val="Quote"/>
    <w:basedOn w:val="Normal"/>
    <w:next w:val="Normal"/>
    <w:link w:val="QuoteChar"/>
    <w:uiPriority w:val="29"/>
    <w:qFormat/>
    <w:rsid w:val="00D346A1"/>
    <w:rPr>
      <w:i/>
      <w:iCs/>
      <w:sz w:val="24"/>
      <w:szCs w:val="24"/>
    </w:rPr>
  </w:style>
  <w:style w:type="character" w:customStyle="1" w:styleId="QuoteChar">
    <w:name w:val="Quote Char"/>
    <w:basedOn w:val="DefaultParagraphFont"/>
    <w:link w:val="Quote"/>
    <w:uiPriority w:val="29"/>
    <w:rsid w:val="00D346A1"/>
    <w:rPr>
      <w:i/>
      <w:iCs/>
      <w:sz w:val="24"/>
      <w:szCs w:val="24"/>
    </w:rPr>
  </w:style>
  <w:style w:type="paragraph" w:styleId="IntenseQuote">
    <w:name w:val="Intense Quote"/>
    <w:basedOn w:val="Normal"/>
    <w:next w:val="Normal"/>
    <w:link w:val="IntenseQuoteChar"/>
    <w:uiPriority w:val="30"/>
    <w:qFormat/>
    <w:rsid w:val="00D346A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46A1"/>
    <w:rPr>
      <w:color w:val="4472C4" w:themeColor="accent1"/>
      <w:sz w:val="24"/>
      <w:szCs w:val="24"/>
    </w:rPr>
  </w:style>
  <w:style w:type="character" w:styleId="SubtleEmphasis">
    <w:name w:val="Subtle Emphasis"/>
    <w:uiPriority w:val="19"/>
    <w:qFormat/>
    <w:rsid w:val="00D346A1"/>
    <w:rPr>
      <w:i/>
      <w:iCs/>
      <w:color w:val="1F3763" w:themeColor="accent1" w:themeShade="7F"/>
    </w:rPr>
  </w:style>
  <w:style w:type="character" w:styleId="IntenseEmphasis">
    <w:name w:val="Intense Emphasis"/>
    <w:uiPriority w:val="21"/>
    <w:qFormat/>
    <w:rsid w:val="00D346A1"/>
    <w:rPr>
      <w:b/>
      <w:bCs/>
      <w:caps/>
      <w:color w:val="1F3763" w:themeColor="accent1" w:themeShade="7F"/>
      <w:spacing w:val="10"/>
    </w:rPr>
  </w:style>
  <w:style w:type="character" w:styleId="SubtleReference">
    <w:name w:val="Subtle Reference"/>
    <w:uiPriority w:val="31"/>
    <w:qFormat/>
    <w:rsid w:val="00D346A1"/>
    <w:rPr>
      <w:b/>
      <w:bCs/>
      <w:color w:val="4472C4" w:themeColor="accent1"/>
    </w:rPr>
  </w:style>
  <w:style w:type="character" w:styleId="IntenseReference">
    <w:name w:val="Intense Reference"/>
    <w:uiPriority w:val="32"/>
    <w:qFormat/>
    <w:rsid w:val="00D346A1"/>
    <w:rPr>
      <w:b/>
      <w:bCs/>
      <w:i/>
      <w:iCs/>
      <w:caps/>
      <w:color w:val="4472C4" w:themeColor="accent1"/>
    </w:rPr>
  </w:style>
  <w:style w:type="character" w:styleId="BookTitle">
    <w:name w:val="Book Title"/>
    <w:uiPriority w:val="33"/>
    <w:qFormat/>
    <w:rsid w:val="00D346A1"/>
    <w:rPr>
      <w:b/>
      <w:bCs/>
      <w:i/>
      <w:iCs/>
      <w:spacing w:val="0"/>
    </w:rPr>
  </w:style>
  <w:style w:type="paragraph" w:styleId="TOCHeading">
    <w:name w:val="TOC Heading"/>
    <w:basedOn w:val="Heading1"/>
    <w:next w:val="Normal"/>
    <w:uiPriority w:val="39"/>
    <w:semiHidden/>
    <w:unhideWhenUsed/>
    <w:qFormat/>
    <w:rsid w:val="00D346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484">
      <w:bodyDiv w:val="1"/>
      <w:marLeft w:val="0"/>
      <w:marRight w:val="0"/>
      <w:marTop w:val="0"/>
      <w:marBottom w:val="0"/>
      <w:divBdr>
        <w:top w:val="none" w:sz="0" w:space="0" w:color="auto"/>
        <w:left w:val="none" w:sz="0" w:space="0" w:color="auto"/>
        <w:bottom w:val="none" w:sz="0" w:space="0" w:color="auto"/>
        <w:right w:val="none" w:sz="0" w:space="0" w:color="auto"/>
      </w:divBdr>
    </w:div>
    <w:div w:id="208498052">
      <w:bodyDiv w:val="1"/>
      <w:marLeft w:val="0"/>
      <w:marRight w:val="0"/>
      <w:marTop w:val="0"/>
      <w:marBottom w:val="0"/>
      <w:divBdr>
        <w:top w:val="none" w:sz="0" w:space="0" w:color="auto"/>
        <w:left w:val="none" w:sz="0" w:space="0" w:color="auto"/>
        <w:bottom w:val="none" w:sz="0" w:space="0" w:color="auto"/>
        <w:right w:val="none" w:sz="0" w:space="0" w:color="auto"/>
      </w:divBdr>
    </w:div>
    <w:div w:id="216203314">
      <w:bodyDiv w:val="1"/>
      <w:marLeft w:val="0"/>
      <w:marRight w:val="0"/>
      <w:marTop w:val="0"/>
      <w:marBottom w:val="0"/>
      <w:divBdr>
        <w:top w:val="none" w:sz="0" w:space="0" w:color="auto"/>
        <w:left w:val="none" w:sz="0" w:space="0" w:color="auto"/>
        <w:bottom w:val="none" w:sz="0" w:space="0" w:color="auto"/>
        <w:right w:val="none" w:sz="0" w:space="0" w:color="auto"/>
      </w:divBdr>
    </w:div>
    <w:div w:id="245773366">
      <w:bodyDiv w:val="1"/>
      <w:marLeft w:val="0"/>
      <w:marRight w:val="0"/>
      <w:marTop w:val="0"/>
      <w:marBottom w:val="0"/>
      <w:divBdr>
        <w:top w:val="none" w:sz="0" w:space="0" w:color="auto"/>
        <w:left w:val="none" w:sz="0" w:space="0" w:color="auto"/>
        <w:bottom w:val="none" w:sz="0" w:space="0" w:color="auto"/>
        <w:right w:val="none" w:sz="0" w:space="0" w:color="auto"/>
      </w:divBdr>
    </w:div>
    <w:div w:id="294918136">
      <w:bodyDiv w:val="1"/>
      <w:marLeft w:val="0"/>
      <w:marRight w:val="0"/>
      <w:marTop w:val="0"/>
      <w:marBottom w:val="0"/>
      <w:divBdr>
        <w:top w:val="none" w:sz="0" w:space="0" w:color="auto"/>
        <w:left w:val="none" w:sz="0" w:space="0" w:color="auto"/>
        <w:bottom w:val="none" w:sz="0" w:space="0" w:color="auto"/>
        <w:right w:val="none" w:sz="0" w:space="0" w:color="auto"/>
      </w:divBdr>
    </w:div>
    <w:div w:id="315451684">
      <w:bodyDiv w:val="1"/>
      <w:marLeft w:val="0"/>
      <w:marRight w:val="0"/>
      <w:marTop w:val="0"/>
      <w:marBottom w:val="0"/>
      <w:divBdr>
        <w:top w:val="none" w:sz="0" w:space="0" w:color="auto"/>
        <w:left w:val="none" w:sz="0" w:space="0" w:color="auto"/>
        <w:bottom w:val="none" w:sz="0" w:space="0" w:color="auto"/>
        <w:right w:val="none" w:sz="0" w:space="0" w:color="auto"/>
      </w:divBdr>
    </w:div>
    <w:div w:id="318197143">
      <w:bodyDiv w:val="1"/>
      <w:marLeft w:val="0"/>
      <w:marRight w:val="0"/>
      <w:marTop w:val="0"/>
      <w:marBottom w:val="0"/>
      <w:divBdr>
        <w:top w:val="none" w:sz="0" w:space="0" w:color="auto"/>
        <w:left w:val="none" w:sz="0" w:space="0" w:color="auto"/>
        <w:bottom w:val="none" w:sz="0" w:space="0" w:color="auto"/>
        <w:right w:val="none" w:sz="0" w:space="0" w:color="auto"/>
      </w:divBdr>
    </w:div>
    <w:div w:id="383912422">
      <w:bodyDiv w:val="1"/>
      <w:marLeft w:val="0"/>
      <w:marRight w:val="0"/>
      <w:marTop w:val="0"/>
      <w:marBottom w:val="0"/>
      <w:divBdr>
        <w:top w:val="none" w:sz="0" w:space="0" w:color="auto"/>
        <w:left w:val="none" w:sz="0" w:space="0" w:color="auto"/>
        <w:bottom w:val="none" w:sz="0" w:space="0" w:color="auto"/>
        <w:right w:val="none" w:sz="0" w:space="0" w:color="auto"/>
      </w:divBdr>
    </w:div>
    <w:div w:id="424612738">
      <w:bodyDiv w:val="1"/>
      <w:marLeft w:val="0"/>
      <w:marRight w:val="0"/>
      <w:marTop w:val="0"/>
      <w:marBottom w:val="0"/>
      <w:divBdr>
        <w:top w:val="none" w:sz="0" w:space="0" w:color="auto"/>
        <w:left w:val="none" w:sz="0" w:space="0" w:color="auto"/>
        <w:bottom w:val="none" w:sz="0" w:space="0" w:color="auto"/>
        <w:right w:val="none" w:sz="0" w:space="0" w:color="auto"/>
      </w:divBdr>
    </w:div>
    <w:div w:id="634872117">
      <w:bodyDiv w:val="1"/>
      <w:marLeft w:val="0"/>
      <w:marRight w:val="0"/>
      <w:marTop w:val="0"/>
      <w:marBottom w:val="0"/>
      <w:divBdr>
        <w:top w:val="none" w:sz="0" w:space="0" w:color="auto"/>
        <w:left w:val="none" w:sz="0" w:space="0" w:color="auto"/>
        <w:bottom w:val="none" w:sz="0" w:space="0" w:color="auto"/>
        <w:right w:val="none" w:sz="0" w:space="0" w:color="auto"/>
      </w:divBdr>
    </w:div>
    <w:div w:id="663970251">
      <w:bodyDiv w:val="1"/>
      <w:marLeft w:val="0"/>
      <w:marRight w:val="0"/>
      <w:marTop w:val="0"/>
      <w:marBottom w:val="0"/>
      <w:divBdr>
        <w:top w:val="none" w:sz="0" w:space="0" w:color="auto"/>
        <w:left w:val="none" w:sz="0" w:space="0" w:color="auto"/>
        <w:bottom w:val="none" w:sz="0" w:space="0" w:color="auto"/>
        <w:right w:val="none" w:sz="0" w:space="0" w:color="auto"/>
      </w:divBdr>
    </w:div>
    <w:div w:id="689454633">
      <w:bodyDiv w:val="1"/>
      <w:marLeft w:val="0"/>
      <w:marRight w:val="0"/>
      <w:marTop w:val="0"/>
      <w:marBottom w:val="0"/>
      <w:divBdr>
        <w:top w:val="none" w:sz="0" w:space="0" w:color="auto"/>
        <w:left w:val="none" w:sz="0" w:space="0" w:color="auto"/>
        <w:bottom w:val="none" w:sz="0" w:space="0" w:color="auto"/>
        <w:right w:val="none" w:sz="0" w:space="0" w:color="auto"/>
      </w:divBdr>
    </w:div>
    <w:div w:id="698973504">
      <w:bodyDiv w:val="1"/>
      <w:marLeft w:val="0"/>
      <w:marRight w:val="0"/>
      <w:marTop w:val="0"/>
      <w:marBottom w:val="0"/>
      <w:divBdr>
        <w:top w:val="none" w:sz="0" w:space="0" w:color="auto"/>
        <w:left w:val="none" w:sz="0" w:space="0" w:color="auto"/>
        <w:bottom w:val="none" w:sz="0" w:space="0" w:color="auto"/>
        <w:right w:val="none" w:sz="0" w:space="0" w:color="auto"/>
      </w:divBdr>
    </w:div>
    <w:div w:id="701976668">
      <w:bodyDiv w:val="1"/>
      <w:marLeft w:val="0"/>
      <w:marRight w:val="0"/>
      <w:marTop w:val="0"/>
      <w:marBottom w:val="0"/>
      <w:divBdr>
        <w:top w:val="none" w:sz="0" w:space="0" w:color="auto"/>
        <w:left w:val="none" w:sz="0" w:space="0" w:color="auto"/>
        <w:bottom w:val="none" w:sz="0" w:space="0" w:color="auto"/>
        <w:right w:val="none" w:sz="0" w:space="0" w:color="auto"/>
      </w:divBdr>
    </w:div>
    <w:div w:id="740521155">
      <w:bodyDiv w:val="1"/>
      <w:marLeft w:val="0"/>
      <w:marRight w:val="0"/>
      <w:marTop w:val="0"/>
      <w:marBottom w:val="0"/>
      <w:divBdr>
        <w:top w:val="none" w:sz="0" w:space="0" w:color="auto"/>
        <w:left w:val="none" w:sz="0" w:space="0" w:color="auto"/>
        <w:bottom w:val="none" w:sz="0" w:space="0" w:color="auto"/>
        <w:right w:val="none" w:sz="0" w:space="0" w:color="auto"/>
      </w:divBdr>
    </w:div>
    <w:div w:id="758480812">
      <w:bodyDiv w:val="1"/>
      <w:marLeft w:val="0"/>
      <w:marRight w:val="0"/>
      <w:marTop w:val="0"/>
      <w:marBottom w:val="0"/>
      <w:divBdr>
        <w:top w:val="none" w:sz="0" w:space="0" w:color="auto"/>
        <w:left w:val="none" w:sz="0" w:space="0" w:color="auto"/>
        <w:bottom w:val="none" w:sz="0" w:space="0" w:color="auto"/>
        <w:right w:val="none" w:sz="0" w:space="0" w:color="auto"/>
      </w:divBdr>
    </w:div>
    <w:div w:id="905140233">
      <w:bodyDiv w:val="1"/>
      <w:marLeft w:val="0"/>
      <w:marRight w:val="0"/>
      <w:marTop w:val="0"/>
      <w:marBottom w:val="0"/>
      <w:divBdr>
        <w:top w:val="none" w:sz="0" w:space="0" w:color="auto"/>
        <w:left w:val="none" w:sz="0" w:space="0" w:color="auto"/>
        <w:bottom w:val="none" w:sz="0" w:space="0" w:color="auto"/>
        <w:right w:val="none" w:sz="0" w:space="0" w:color="auto"/>
      </w:divBdr>
    </w:div>
    <w:div w:id="914975821">
      <w:bodyDiv w:val="1"/>
      <w:marLeft w:val="0"/>
      <w:marRight w:val="0"/>
      <w:marTop w:val="0"/>
      <w:marBottom w:val="0"/>
      <w:divBdr>
        <w:top w:val="none" w:sz="0" w:space="0" w:color="auto"/>
        <w:left w:val="none" w:sz="0" w:space="0" w:color="auto"/>
        <w:bottom w:val="none" w:sz="0" w:space="0" w:color="auto"/>
        <w:right w:val="none" w:sz="0" w:space="0" w:color="auto"/>
      </w:divBdr>
    </w:div>
    <w:div w:id="1024482123">
      <w:bodyDiv w:val="1"/>
      <w:marLeft w:val="0"/>
      <w:marRight w:val="0"/>
      <w:marTop w:val="0"/>
      <w:marBottom w:val="0"/>
      <w:divBdr>
        <w:top w:val="none" w:sz="0" w:space="0" w:color="auto"/>
        <w:left w:val="none" w:sz="0" w:space="0" w:color="auto"/>
        <w:bottom w:val="none" w:sz="0" w:space="0" w:color="auto"/>
        <w:right w:val="none" w:sz="0" w:space="0" w:color="auto"/>
      </w:divBdr>
    </w:div>
    <w:div w:id="1049111206">
      <w:bodyDiv w:val="1"/>
      <w:marLeft w:val="0"/>
      <w:marRight w:val="0"/>
      <w:marTop w:val="0"/>
      <w:marBottom w:val="0"/>
      <w:divBdr>
        <w:top w:val="none" w:sz="0" w:space="0" w:color="auto"/>
        <w:left w:val="none" w:sz="0" w:space="0" w:color="auto"/>
        <w:bottom w:val="none" w:sz="0" w:space="0" w:color="auto"/>
        <w:right w:val="none" w:sz="0" w:space="0" w:color="auto"/>
      </w:divBdr>
    </w:div>
    <w:div w:id="1163273845">
      <w:bodyDiv w:val="1"/>
      <w:marLeft w:val="0"/>
      <w:marRight w:val="0"/>
      <w:marTop w:val="0"/>
      <w:marBottom w:val="0"/>
      <w:divBdr>
        <w:top w:val="none" w:sz="0" w:space="0" w:color="auto"/>
        <w:left w:val="none" w:sz="0" w:space="0" w:color="auto"/>
        <w:bottom w:val="none" w:sz="0" w:space="0" w:color="auto"/>
        <w:right w:val="none" w:sz="0" w:space="0" w:color="auto"/>
      </w:divBdr>
    </w:div>
    <w:div w:id="1248224291">
      <w:bodyDiv w:val="1"/>
      <w:marLeft w:val="0"/>
      <w:marRight w:val="0"/>
      <w:marTop w:val="0"/>
      <w:marBottom w:val="0"/>
      <w:divBdr>
        <w:top w:val="none" w:sz="0" w:space="0" w:color="auto"/>
        <w:left w:val="none" w:sz="0" w:space="0" w:color="auto"/>
        <w:bottom w:val="none" w:sz="0" w:space="0" w:color="auto"/>
        <w:right w:val="none" w:sz="0" w:space="0" w:color="auto"/>
      </w:divBdr>
    </w:div>
    <w:div w:id="1284655083">
      <w:bodyDiv w:val="1"/>
      <w:marLeft w:val="0"/>
      <w:marRight w:val="0"/>
      <w:marTop w:val="0"/>
      <w:marBottom w:val="0"/>
      <w:divBdr>
        <w:top w:val="none" w:sz="0" w:space="0" w:color="auto"/>
        <w:left w:val="none" w:sz="0" w:space="0" w:color="auto"/>
        <w:bottom w:val="none" w:sz="0" w:space="0" w:color="auto"/>
        <w:right w:val="none" w:sz="0" w:space="0" w:color="auto"/>
      </w:divBdr>
    </w:div>
    <w:div w:id="1298561536">
      <w:bodyDiv w:val="1"/>
      <w:marLeft w:val="0"/>
      <w:marRight w:val="0"/>
      <w:marTop w:val="0"/>
      <w:marBottom w:val="0"/>
      <w:divBdr>
        <w:top w:val="none" w:sz="0" w:space="0" w:color="auto"/>
        <w:left w:val="none" w:sz="0" w:space="0" w:color="auto"/>
        <w:bottom w:val="none" w:sz="0" w:space="0" w:color="auto"/>
        <w:right w:val="none" w:sz="0" w:space="0" w:color="auto"/>
      </w:divBdr>
    </w:div>
    <w:div w:id="1330015787">
      <w:bodyDiv w:val="1"/>
      <w:marLeft w:val="0"/>
      <w:marRight w:val="0"/>
      <w:marTop w:val="0"/>
      <w:marBottom w:val="0"/>
      <w:divBdr>
        <w:top w:val="none" w:sz="0" w:space="0" w:color="auto"/>
        <w:left w:val="none" w:sz="0" w:space="0" w:color="auto"/>
        <w:bottom w:val="none" w:sz="0" w:space="0" w:color="auto"/>
        <w:right w:val="none" w:sz="0" w:space="0" w:color="auto"/>
      </w:divBdr>
    </w:div>
    <w:div w:id="1379624744">
      <w:bodyDiv w:val="1"/>
      <w:marLeft w:val="0"/>
      <w:marRight w:val="0"/>
      <w:marTop w:val="0"/>
      <w:marBottom w:val="0"/>
      <w:divBdr>
        <w:top w:val="none" w:sz="0" w:space="0" w:color="auto"/>
        <w:left w:val="none" w:sz="0" w:space="0" w:color="auto"/>
        <w:bottom w:val="none" w:sz="0" w:space="0" w:color="auto"/>
        <w:right w:val="none" w:sz="0" w:space="0" w:color="auto"/>
      </w:divBdr>
    </w:div>
    <w:div w:id="1409644626">
      <w:bodyDiv w:val="1"/>
      <w:marLeft w:val="0"/>
      <w:marRight w:val="0"/>
      <w:marTop w:val="0"/>
      <w:marBottom w:val="0"/>
      <w:divBdr>
        <w:top w:val="none" w:sz="0" w:space="0" w:color="auto"/>
        <w:left w:val="none" w:sz="0" w:space="0" w:color="auto"/>
        <w:bottom w:val="none" w:sz="0" w:space="0" w:color="auto"/>
        <w:right w:val="none" w:sz="0" w:space="0" w:color="auto"/>
      </w:divBdr>
    </w:div>
    <w:div w:id="1414858718">
      <w:bodyDiv w:val="1"/>
      <w:marLeft w:val="0"/>
      <w:marRight w:val="0"/>
      <w:marTop w:val="0"/>
      <w:marBottom w:val="0"/>
      <w:divBdr>
        <w:top w:val="none" w:sz="0" w:space="0" w:color="auto"/>
        <w:left w:val="none" w:sz="0" w:space="0" w:color="auto"/>
        <w:bottom w:val="none" w:sz="0" w:space="0" w:color="auto"/>
        <w:right w:val="none" w:sz="0" w:space="0" w:color="auto"/>
      </w:divBdr>
    </w:div>
    <w:div w:id="1424494669">
      <w:bodyDiv w:val="1"/>
      <w:marLeft w:val="0"/>
      <w:marRight w:val="0"/>
      <w:marTop w:val="0"/>
      <w:marBottom w:val="0"/>
      <w:divBdr>
        <w:top w:val="none" w:sz="0" w:space="0" w:color="auto"/>
        <w:left w:val="none" w:sz="0" w:space="0" w:color="auto"/>
        <w:bottom w:val="none" w:sz="0" w:space="0" w:color="auto"/>
        <w:right w:val="none" w:sz="0" w:space="0" w:color="auto"/>
      </w:divBdr>
    </w:div>
    <w:div w:id="1543712272">
      <w:bodyDiv w:val="1"/>
      <w:marLeft w:val="0"/>
      <w:marRight w:val="0"/>
      <w:marTop w:val="0"/>
      <w:marBottom w:val="0"/>
      <w:divBdr>
        <w:top w:val="none" w:sz="0" w:space="0" w:color="auto"/>
        <w:left w:val="none" w:sz="0" w:space="0" w:color="auto"/>
        <w:bottom w:val="none" w:sz="0" w:space="0" w:color="auto"/>
        <w:right w:val="none" w:sz="0" w:space="0" w:color="auto"/>
      </w:divBdr>
    </w:div>
    <w:div w:id="1546141211">
      <w:bodyDiv w:val="1"/>
      <w:marLeft w:val="0"/>
      <w:marRight w:val="0"/>
      <w:marTop w:val="0"/>
      <w:marBottom w:val="0"/>
      <w:divBdr>
        <w:top w:val="none" w:sz="0" w:space="0" w:color="auto"/>
        <w:left w:val="none" w:sz="0" w:space="0" w:color="auto"/>
        <w:bottom w:val="none" w:sz="0" w:space="0" w:color="auto"/>
        <w:right w:val="none" w:sz="0" w:space="0" w:color="auto"/>
      </w:divBdr>
    </w:div>
    <w:div w:id="1552031459">
      <w:bodyDiv w:val="1"/>
      <w:marLeft w:val="0"/>
      <w:marRight w:val="0"/>
      <w:marTop w:val="0"/>
      <w:marBottom w:val="0"/>
      <w:divBdr>
        <w:top w:val="none" w:sz="0" w:space="0" w:color="auto"/>
        <w:left w:val="none" w:sz="0" w:space="0" w:color="auto"/>
        <w:bottom w:val="none" w:sz="0" w:space="0" w:color="auto"/>
        <w:right w:val="none" w:sz="0" w:space="0" w:color="auto"/>
      </w:divBdr>
    </w:div>
    <w:div w:id="1567374361">
      <w:bodyDiv w:val="1"/>
      <w:marLeft w:val="0"/>
      <w:marRight w:val="0"/>
      <w:marTop w:val="0"/>
      <w:marBottom w:val="0"/>
      <w:divBdr>
        <w:top w:val="none" w:sz="0" w:space="0" w:color="auto"/>
        <w:left w:val="none" w:sz="0" w:space="0" w:color="auto"/>
        <w:bottom w:val="none" w:sz="0" w:space="0" w:color="auto"/>
        <w:right w:val="none" w:sz="0" w:space="0" w:color="auto"/>
      </w:divBdr>
    </w:div>
    <w:div w:id="1596480369">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10115617">
      <w:bodyDiv w:val="1"/>
      <w:marLeft w:val="0"/>
      <w:marRight w:val="0"/>
      <w:marTop w:val="0"/>
      <w:marBottom w:val="0"/>
      <w:divBdr>
        <w:top w:val="none" w:sz="0" w:space="0" w:color="auto"/>
        <w:left w:val="none" w:sz="0" w:space="0" w:color="auto"/>
        <w:bottom w:val="none" w:sz="0" w:space="0" w:color="auto"/>
        <w:right w:val="none" w:sz="0" w:space="0" w:color="auto"/>
      </w:divBdr>
    </w:div>
    <w:div w:id="1712221254">
      <w:bodyDiv w:val="1"/>
      <w:marLeft w:val="0"/>
      <w:marRight w:val="0"/>
      <w:marTop w:val="0"/>
      <w:marBottom w:val="0"/>
      <w:divBdr>
        <w:top w:val="none" w:sz="0" w:space="0" w:color="auto"/>
        <w:left w:val="none" w:sz="0" w:space="0" w:color="auto"/>
        <w:bottom w:val="none" w:sz="0" w:space="0" w:color="auto"/>
        <w:right w:val="none" w:sz="0" w:space="0" w:color="auto"/>
      </w:divBdr>
    </w:div>
    <w:div w:id="1797017942">
      <w:bodyDiv w:val="1"/>
      <w:marLeft w:val="0"/>
      <w:marRight w:val="0"/>
      <w:marTop w:val="0"/>
      <w:marBottom w:val="0"/>
      <w:divBdr>
        <w:top w:val="none" w:sz="0" w:space="0" w:color="auto"/>
        <w:left w:val="none" w:sz="0" w:space="0" w:color="auto"/>
        <w:bottom w:val="none" w:sz="0" w:space="0" w:color="auto"/>
        <w:right w:val="none" w:sz="0" w:space="0" w:color="auto"/>
      </w:divBdr>
    </w:div>
    <w:div w:id="1839080195">
      <w:bodyDiv w:val="1"/>
      <w:marLeft w:val="0"/>
      <w:marRight w:val="0"/>
      <w:marTop w:val="0"/>
      <w:marBottom w:val="0"/>
      <w:divBdr>
        <w:top w:val="none" w:sz="0" w:space="0" w:color="auto"/>
        <w:left w:val="none" w:sz="0" w:space="0" w:color="auto"/>
        <w:bottom w:val="none" w:sz="0" w:space="0" w:color="auto"/>
        <w:right w:val="none" w:sz="0" w:space="0" w:color="auto"/>
      </w:divBdr>
    </w:div>
    <w:div w:id="1844738677">
      <w:bodyDiv w:val="1"/>
      <w:marLeft w:val="0"/>
      <w:marRight w:val="0"/>
      <w:marTop w:val="0"/>
      <w:marBottom w:val="0"/>
      <w:divBdr>
        <w:top w:val="none" w:sz="0" w:space="0" w:color="auto"/>
        <w:left w:val="none" w:sz="0" w:space="0" w:color="auto"/>
        <w:bottom w:val="none" w:sz="0" w:space="0" w:color="auto"/>
        <w:right w:val="none" w:sz="0" w:space="0" w:color="auto"/>
      </w:divBdr>
    </w:div>
    <w:div w:id="2110660313">
      <w:bodyDiv w:val="1"/>
      <w:marLeft w:val="0"/>
      <w:marRight w:val="0"/>
      <w:marTop w:val="0"/>
      <w:marBottom w:val="0"/>
      <w:divBdr>
        <w:top w:val="none" w:sz="0" w:space="0" w:color="auto"/>
        <w:left w:val="none" w:sz="0" w:space="0" w:color="auto"/>
        <w:bottom w:val="none" w:sz="0" w:space="0" w:color="auto"/>
        <w:right w:val="none" w:sz="0" w:space="0" w:color="auto"/>
      </w:divBdr>
    </w:div>
    <w:div w:id="21414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ex.coveredca.com/data-research/plan-performance-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cbdc64-fb5e-454b-b540-ed5cf3fd43e5">
      <Terms xmlns="http://schemas.microsoft.com/office/infopath/2007/PartnerControls"/>
    </lcf76f155ced4ddcb4097134ff3c332f>
    <TaxCatchAll xmlns="8fa3e409-3e36-4187-a85f-77346f72d25c" xsi:nil="true"/>
    <Notes xmlns="9fcbdc64-fb5e-454b-b540-ed5cf3fd43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7" ma:contentTypeDescription="Create a new document." ma:contentTypeScope="" ma:versionID="a76c62aaaa96dc0e1347b709a104b1f9">
  <xsd:schema xmlns:xsd="http://www.w3.org/2001/XMLSchema" xmlns:xs="http://www.w3.org/2001/XMLSchema" xmlns:p="http://schemas.microsoft.com/office/2006/metadata/properties" xmlns:ns2="8fa3e409-3e36-4187-a85f-77346f72d25c" xmlns:ns3="9fcbdc64-fb5e-454b-b540-ed5cf3fd43e5" targetNamespace="http://schemas.microsoft.com/office/2006/metadata/properties" ma:root="true" ma:fieldsID="cdcfa57e761bf40aeac3c5dbc4def08c" ns2:_="" ns3:_="">
    <xsd:import namespace="8fa3e409-3e36-4187-a85f-77346f72d25c"/>
    <xsd:import namespace="9fcbdc64-fb5e-454b-b540-ed5cf3fd43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e409-3e36-4187-a85f-77346f72d2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b07e85-57c1-49cb-aef0-e24f39c4b39a}"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F260-9F4C-4FFC-B83F-479F76AAA8AD}">
  <ds:schemaRefs>
    <ds:schemaRef ds:uri="http://schemas.microsoft.com/sharepoint/v3/contenttype/forms"/>
  </ds:schemaRefs>
</ds:datastoreItem>
</file>

<file path=customXml/itemProps2.xml><?xml version="1.0" encoding="utf-8"?>
<ds:datastoreItem xmlns:ds="http://schemas.openxmlformats.org/officeDocument/2006/customXml" ds:itemID="{4F79EC60-B794-428B-8812-F7BDDF8016F4}">
  <ds:schemaRefs>
    <ds:schemaRef ds:uri="http://purl.org/dc/terms/"/>
    <ds:schemaRef ds:uri="http://purl.org/dc/dcmitype/"/>
    <ds:schemaRef ds:uri="http://purl.org/dc/elements/1.1/"/>
    <ds:schemaRef ds:uri="8fa3e409-3e36-4187-a85f-77346f72d25c"/>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9fcbdc64-fb5e-454b-b540-ed5cf3fd43e5"/>
    <ds:schemaRef ds:uri="http://www.w3.org/XML/1998/namespace"/>
  </ds:schemaRefs>
</ds:datastoreItem>
</file>

<file path=customXml/itemProps3.xml><?xml version="1.0" encoding="utf-8"?>
<ds:datastoreItem xmlns:ds="http://schemas.openxmlformats.org/officeDocument/2006/customXml" ds:itemID="{0226D470-7872-40E5-AD4E-A837E8E2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e409-3e36-4187-a85f-77346f72d25c"/>
    <ds:schemaRef ds:uri="9fcbdc64-fb5e-454b-b540-ed5cf3fd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52FC3-6417-4FF9-A6EF-92AC385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3422</Words>
  <Characters>19509</Characters>
  <Application>Microsoft Office Word</Application>
  <DocSecurity>0</DocSecurity>
  <Lines>162</Lines>
  <Paragraphs>45</Paragraphs>
  <ScaleCrop>false</ScaleCrop>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Brett (CoveredCA)</dc:creator>
  <cp:keywords/>
  <dc:description/>
  <cp:lastModifiedBy>Jackson, Brett (CoveredCA)</cp:lastModifiedBy>
  <cp:revision>2</cp:revision>
  <dcterms:created xsi:type="dcterms:W3CDTF">2025-10-22T16:03:00Z</dcterms:created>
  <dcterms:modified xsi:type="dcterms:W3CDTF">2025-10-22T16:03:00Z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2024-06-21T00:13:27Z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061eec7b-b3a9-43a5-8b90-eb5abd22d4dd</vt:lpwstr>
  </property>
  <property fmtid="{D5CDD505-2E9C-101B-9397-08002B2CF9AE}" pid="8" name="MSIP_Label_1b8fe692-65eb-452b-9080-c3b135e23679_ContentBits">
    <vt:lpwstr>0</vt:lpwstr>
  </property>
  <property fmtid="{D5CDD505-2E9C-101B-9397-08002B2CF9AE}" pid="9" name="ContentTypeId">
    <vt:lpwstr>0x010100D24BF08DABFAC94E91864D3E3D04624A</vt:lpwstr>
  </property>
  <property fmtid="{D5CDD505-2E9C-101B-9397-08002B2CF9AE}" pid="10" name="MediaServiceImageTags">
    <vt:lpwstr/>
  </property>
</Properties>
</file>